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57" w:rsidRPr="00B053ED" w:rsidRDefault="00517657">
      <w:pPr>
        <w:pStyle w:val="3"/>
        <w:spacing w:line="276" w:lineRule="atLeast"/>
        <w:divId w:val="947541883"/>
        <w:rPr>
          <w:rFonts w:ascii="Arial" w:eastAsia="Times New Roman" w:hAnsi="Arial" w:cs="Arial"/>
          <w:color w:val="333333"/>
          <w:lang w:val="en-US"/>
        </w:rPr>
      </w:pPr>
      <w:r w:rsidRPr="00B053ED">
        <w:rPr>
          <w:rFonts w:ascii="Arial" w:eastAsia="Times New Roman" w:hAnsi="Arial" w:cs="Arial"/>
          <w:color w:val="333333"/>
          <w:lang w:val="en-US"/>
        </w:rPr>
        <w:t>Comisia Europeană</w:t>
      </w:r>
    </w:p>
    <w:p w:rsidR="00517657" w:rsidRPr="00B053ED" w:rsidRDefault="00517657">
      <w:pPr>
        <w:pStyle w:val="1"/>
        <w:divId w:val="947541883"/>
        <w:rPr>
          <w:rFonts w:eastAsia="Times New Roman" w:cs="Arial"/>
          <w:lang w:val="en-US"/>
        </w:rPr>
      </w:pPr>
      <w:proofErr w:type="gramStart"/>
      <w:r w:rsidRPr="00B053ED">
        <w:rPr>
          <w:rFonts w:eastAsia="Times New Roman" w:cs="Arial"/>
          <w:lang w:val="en-US"/>
        </w:rPr>
        <w:t>Decizia de punere în aplicare nr.</w:t>
      </w:r>
      <w:proofErr w:type="gramEnd"/>
      <w:r w:rsidRPr="00B053ED">
        <w:rPr>
          <w:rFonts w:eastAsia="Times New Roman" w:cs="Arial"/>
          <w:lang w:val="en-US"/>
        </w:rPr>
        <w:t xml:space="preserve"> 1885/2019 de stabilire a normelor pentru calculul, verificarea și raportarea datelor referitoare la depozitele de deșeuri municipale în conformitate cu Directiva 1999/31/CE a Consiliului și de abrogare a Deciziei 2000/738/CE a Comisiei [notificată cu numărul </w:t>
      </w:r>
      <w:proofErr w:type="gramStart"/>
      <w:r w:rsidRPr="00B053ED">
        <w:rPr>
          <w:rFonts w:eastAsia="Times New Roman" w:cs="Arial"/>
          <w:lang w:val="en-US"/>
        </w:rPr>
        <w:t>C(</w:t>
      </w:r>
      <w:proofErr w:type="gramEnd"/>
      <w:r w:rsidRPr="00B053ED">
        <w:rPr>
          <w:rFonts w:eastAsia="Times New Roman" w:cs="Arial"/>
          <w:lang w:val="en-US"/>
        </w:rPr>
        <w:t>2019) 7874]</w:t>
      </w:r>
      <w:r w:rsidRPr="00B053ED">
        <w:rPr>
          <w:rFonts w:eastAsia="Times New Roman" w:cs="Arial"/>
          <w:lang w:val="en-US"/>
        </w:rPr>
        <w:br/>
        <w:t>Număr celex: 32019D1885</w:t>
      </w:r>
    </w:p>
    <w:p w:rsidR="00517657" w:rsidRPr="00B053ED" w:rsidRDefault="00517657">
      <w:pPr>
        <w:pStyle w:val="3"/>
        <w:spacing w:line="276" w:lineRule="atLeast"/>
        <w:divId w:val="947541883"/>
        <w:rPr>
          <w:rFonts w:ascii="Arial" w:eastAsia="Times New Roman" w:hAnsi="Arial" w:cs="Arial"/>
          <w:color w:val="333333"/>
          <w:lang w:val="en-US"/>
        </w:rPr>
      </w:pPr>
      <w:r w:rsidRPr="00B053ED">
        <w:rPr>
          <w:rFonts w:ascii="Arial" w:eastAsia="Times New Roman" w:hAnsi="Arial" w:cs="Arial"/>
          <w:color w:val="333333"/>
          <w:lang w:val="en-US"/>
        </w:rPr>
        <w:t>În vigoare de la 11 noiembrie 2019</w:t>
      </w:r>
    </w:p>
    <w:p w:rsidR="00517657" w:rsidRPr="00B053ED" w:rsidRDefault="00517657">
      <w:pPr>
        <w:spacing w:line="276" w:lineRule="atLeast"/>
        <w:jc w:val="both"/>
        <w:divId w:val="947541883"/>
        <w:rPr>
          <w:rFonts w:ascii="Arial" w:eastAsia="Times New Roman" w:hAnsi="Arial" w:cs="Arial"/>
          <w:color w:val="333333"/>
          <w:sz w:val="17"/>
          <w:szCs w:val="17"/>
          <w:lang w:val="en-US"/>
        </w:rPr>
      </w:pPr>
      <w:proofErr w:type="gramStart"/>
      <w:r w:rsidRPr="00B053ED">
        <w:rPr>
          <w:rFonts w:ascii="Arial" w:eastAsia="Times New Roman" w:hAnsi="Arial" w:cs="Arial"/>
          <w:color w:val="333333"/>
          <w:sz w:val="17"/>
          <w:szCs w:val="17"/>
          <w:lang w:val="en-US"/>
        </w:rPr>
        <w:t>Publicat în Jurnalul Oficial al Uniunii Europene nr.</w:t>
      </w:r>
      <w:proofErr w:type="gramEnd"/>
      <w:r w:rsidRPr="00B053ED">
        <w:rPr>
          <w:rFonts w:ascii="Arial" w:eastAsia="Times New Roman" w:hAnsi="Arial" w:cs="Arial"/>
          <w:color w:val="333333"/>
          <w:sz w:val="17"/>
          <w:szCs w:val="17"/>
          <w:lang w:val="en-US"/>
        </w:rPr>
        <w:t xml:space="preserve"> 290 din 11 noiembrie 2019.</w:t>
      </w:r>
    </w:p>
    <w:p w:rsidR="00517657" w:rsidRPr="00B053ED" w:rsidRDefault="00517657">
      <w:pPr>
        <w:spacing w:line="276" w:lineRule="atLeast"/>
        <w:jc w:val="both"/>
        <w:rPr>
          <w:rFonts w:ascii="Arial" w:eastAsia="Times New Roman" w:hAnsi="Arial" w:cs="Arial"/>
          <w:color w:val="333333"/>
          <w:sz w:val="17"/>
          <w:szCs w:val="17"/>
          <w:lang w:val="en-US"/>
        </w:rPr>
      </w:pPr>
      <w:r w:rsidRPr="00B053ED">
        <w:rPr>
          <w:rFonts w:ascii="Arial" w:eastAsia="Times New Roman" w:hAnsi="Arial" w:cs="Arial"/>
          <w:color w:val="333333"/>
          <w:sz w:val="17"/>
          <w:szCs w:val="17"/>
          <w:lang w:val="en-US"/>
        </w:rPr>
        <w:t>COMISIA EUROPEANĂ,</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color w:val="333333"/>
          <w:sz w:val="17"/>
          <w:szCs w:val="17"/>
          <w:lang w:val="en-US"/>
        </w:rPr>
        <w:t>având</w:t>
      </w:r>
      <w:proofErr w:type="gramEnd"/>
      <w:r w:rsidRPr="00B053ED">
        <w:rPr>
          <w:rFonts w:ascii="Arial" w:hAnsi="Arial" w:cs="Arial"/>
          <w:color w:val="333333"/>
          <w:sz w:val="17"/>
          <w:szCs w:val="17"/>
          <w:lang w:val="en-US"/>
        </w:rPr>
        <w:t xml:space="preserve"> în vedere </w:t>
      </w:r>
      <w:hyperlink r:id="rId4" w:tgtFrame="_blank" w:history="1">
        <w:r w:rsidRPr="00B053ED">
          <w:rPr>
            <w:rStyle w:val="a3"/>
            <w:rFonts w:ascii="Arial" w:hAnsi="Arial" w:cs="Arial"/>
            <w:sz w:val="17"/>
            <w:szCs w:val="17"/>
            <w:lang w:val="en-US"/>
          </w:rPr>
          <w:t>Tratatul</w:t>
        </w:r>
      </w:hyperlink>
      <w:r w:rsidRPr="00B053ED">
        <w:rPr>
          <w:rFonts w:ascii="Arial" w:hAnsi="Arial" w:cs="Arial"/>
          <w:color w:val="333333"/>
          <w:sz w:val="17"/>
          <w:szCs w:val="17"/>
          <w:lang w:val="en-US"/>
        </w:rPr>
        <w:t xml:space="preserve"> privind funcționarea Uniunii Europene,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având în vedere Directiva </w:t>
      </w:r>
      <w:hyperlink r:id="rId5"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xml:space="preserve"> a Consiliului din 26 aprilie 1999 privind depozitele de deșeuri </w:t>
      </w: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1</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în special articolul 5a alineatul (4) și articolul 15 </w:t>
      </w:r>
      <w:hyperlink r:id="rId6" w:anchor="p-58053106" w:tgtFrame="_blank" w:history="1">
        <w:r w:rsidRPr="00B053ED">
          <w:rPr>
            <w:rStyle w:val="a3"/>
            <w:rFonts w:ascii="Arial" w:hAnsi="Arial" w:cs="Arial"/>
            <w:sz w:val="17"/>
            <w:szCs w:val="17"/>
            <w:lang w:val="en-US"/>
          </w:rPr>
          <w:t>alineatul (5)</w:t>
        </w:r>
      </w:hyperlink>
      <w:r w:rsidRPr="00B053ED">
        <w:rPr>
          <w:rFonts w:ascii="Arial" w:hAnsi="Arial" w:cs="Arial"/>
          <w:color w:val="333333"/>
          <w:sz w:val="17"/>
          <w:szCs w:val="17"/>
          <w:lang w:val="en-US"/>
        </w:rPr>
        <w:t xml:space="preserve">, </w:t>
      </w:r>
    </w:p>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1</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JO L 182, 16.7.1999, p. 1.</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color w:val="333333"/>
          <w:sz w:val="17"/>
          <w:szCs w:val="17"/>
          <w:lang w:val="en-US"/>
        </w:rPr>
        <w:t>întrucât</w:t>
      </w:r>
      <w:proofErr w:type="gramEnd"/>
      <w:r w:rsidRPr="00B053ED">
        <w:rPr>
          <w:rFonts w:ascii="Arial" w:hAnsi="Arial" w:cs="Arial"/>
          <w:color w:val="333333"/>
          <w:sz w:val="17"/>
          <w:szCs w:val="17"/>
          <w:lang w:val="en-US"/>
        </w:rPr>
        <w:t>:</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(1) Statele membre trebuie </w:t>
      </w:r>
      <w:proofErr w:type="gramStart"/>
      <w:r w:rsidRPr="00B053ED">
        <w:rPr>
          <w:rFonts w:ascii="Arial" w:hAnsi="Arial" w:cs="Arial"/>
          <w:color w:val="333333"/>
          <w:sz w:val="17"/>
          <w:szCs w:val="17"/>
          <w:lang w:val="en-US"/>
        </w:rPr>
        <w:t>să</w:t>
      </w:r>
      <w:proofErr w:type="gramEnd"/>
      <w:r w:rsidRPr="00B053ED">
        <w:rPr>
          <w:rFonts w:ascii="Arial" w:hAnsi="Arial" w:cs="Arial"/>
          <w:color w:val="333333"/>
          <w:sz w:val="17"/>
          <w:szCs w:val="17"/>
          <w:lang w:val="en-US"/>
        </w:rPr>
        <w:t xml:space="preserve"> raporteze cantitatea de deșeuri municipale depozitate, pentru a demonstra că îndeplinesc obiectivele stabilite în Directiva </w:t>
      </w:r>
      <w:hyperlink r:id="rId7"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xml:space="preserve">. Normele pentru calculul acestor obiective ar trebui </w:t>
      </w:r>
      <w:proofErr w:type="gramStart"/>
      <w:r w:rsidRPr="00B053ED">
        <w:rPr>
          <w:rFonts w:ascii="Arial" w:hAnsi="Arial" w:cs="Arial"/>
          <w:color w:val="333333"/>
          <w:sz w:val="17"/>
          <w:szCs w:val="17"/>
          <w:lang w:val="en-US"/>
        </w:rPr>
        <w:t>să</w:t>
      </w:r>
      <w:proofErr w:type="gramEnd"/>
      <w:r w:rsidRPr="00B053ED">
        <w:rPr>
          <w:rFonts w:ascii="Arial" w:hAnsi="Arial" w:cs="Arial"/>
          <w:color w:val="333333"/>
          <w:sz w:val="17"/>
          <w:szCs w:val="17"/>
          <w:lang w:val="en-US"/>
        </w:rPr>
        <w:t xml:space="preserve"> asigure valabilitatea și comparabilitatea datelor transmise de statele membre.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(2) Pentru ca acest calcul să reflecte măsura reală în care se practică depozitarea deșeurilor, cantitatea de deșeuri raportată ca fiind depozitată ar trebui să includă toate deșeurile municipale aflate în depozitele de deșeuri, menționate la articolul 5a alineatul (1) literele (b) și (c) din Directiva 1999/31/CE, fără corecții pentru conținutul de umiditate al acestora. În anumite cazuri, deșeurile municipale tratate acceptate și depozitate în depozitele de deșeuri, cum ar fi deșeurile municipale biodegradabile stabilizate, contribuie la asigurarea respectării cerințelor stabilite la </w:t>
      </w:r>
      <w:hyperlink r:id="rId8" w:anchor="p-58053106" w:tgtFrame="_blank" w:history="1">
        <w:r w:rsidRPr="00B053ED">
          <w:rPr>
            <w:rFonts w:ascii="Arial" w:hAnsi="Arial" w:cs="Arial"/>
            <w:color w:val="0000FF"/>
            <w:sz w:val="17"/>
            <w:szCs w:val="17"/>
            <w:u w:val="single"/>
            <w:lang w:val="en-US"/>
          </w:rPr>
          <w:t>punctul 5</w:t>
        </w:r>
      </w:hyperlink>
      <w:r w:rsidRPr="00B053ED">
        <w:rPr>
          <w:rFonts w:ascii="Arial" w:hAnsi="Arial" w:cs="Arial"/>
          <w:color w:val="333333"/>
          <w:sz w:val="17"/>
          <w:szCs w:val="17"/>
          <w:lang w:val="en-US"/>
        </w:rPr>
        <w:t xml:space="preserve"> din anexa I la Directiva 1999/31/CE, referitoare la măsurile de minimizare a noxelor și a riscurilor cauzate de depozitele de deșeuri. </w:t>
      </w:r>
      <w:proofErr w:type="gramStart"/>
      <w:r w:rsidRPr="00B053ED">
        <w:rPr>
          <w:rFonts w:ascii="Arial" w:hAnsi="Arial" w:cs="Arial"/>
          <w:color w:val="333333"/>
          <w:sz w:val="17"/>
          <w:szCs w:val="17"/>
          <w:lang w:val="en-US"/>
        </w:rPr>
        <w:t>Întrucât astfel de deșeuri municipale sunt efectiv depozitate în depozitul de deșeuri, acestea ar trebui incluse în cantitatea de deșeuri municipale raportată ca fiind depozitată și nu ar trebui alocate operațiunilor de recuperare.</w:t>
      </w:r>
      <w:proofErr w:type="gramEnd"/>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(3) Întrucât obiectivele de depozitare a deșeurilor municipale stabilite în Directiva </w:t>
      </w:r>
      <w:hyperlink r:id="rId9"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xml:space="preserve"> și obiectivele de reciclare a deșeurilor municipale stabilite în Directiva </w:t>
      </w:r>
      <w:hyperlink r:id="rId10" w:tgtFrame="_blank" w:history="1">
        <w:r w:rsidRPr="00B053ED">
          <w:rPr>
            <w:rStyle w:val="a3"/>
            <w:rFonts w:ascii="Arial" w:hAnsi="Arial" w:cs="Arial"/>
            <w:sz w:val="17"/>
            <w:szCs w:val="17"/>
            <w:lang w:val="en-US"/>
          </w:rPr>
          <w:t>2008/98/CE</w:t>
        </w:r>
      </w:hyperlink>
      <w:r w:rsidRPr="00B053ED">
        <w:rPr>
          <w:rFonts w:ascii="Arial" w:hAnsi="Arial" w:cs="Arial"/>
          <w:color w:val="333333"/>
          <w:sz w:val="17"/>
          <w:szCs w:val="17"/>
          <w:lang w:val="en-US"/>
        </w:rPr>
        <w:t xml:space="preserve"> a Parlamentului European și a Consiliului </w:t>
      </w: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2</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se referă la același flux de deșeuri, normele de calcul pentru deșeurile municipale raportate ca fiind depozitate ar trebui să fie coerente cu normele de calcul pentru reciclarea deșeurilor municipale stabilite în Directiva 2008/98/CE și în Decizia de punere în aplicare (UE) </w:t>
      </w:r>
      <w:hyperlink r:id="rId11" w:tgtFrame="_blank" w:history="1">
        <w:r w:rsidRPr="00B053ED">
          <w:rPr>
            <w:rStyle w:val="a3"/>
            <w:rFonts w:ascii="Arial" w:hAnsi="Arial" w:cs="Arial"/>
            <w:sz w:val="17"/>
            <w:szCs w:val="17"/>
            <w:lang w:val="en-US"/>
          </w:rPr>
          <w:t>2019/1004</w:t>
        </w:r>
      </w:hyperlink>
      <w:r w:rsidRPr="00B053ED">
        <w:rPr>
          <w:rFonts w:ascii="Arial" w:hAnsi="Arial" w:cs="Arial"/>
          <w:color w:val="333333"/>
          <w:sz w:val="17"/>
          <w:szCs w:val="17"/>
          <w:lang w:val="en-US"/>
        </w:rPr>
        <w:t xml:space="preserve"> a Comisiei </w:t>
      </w: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3</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w:t>
      </w:r>
    </w:p>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2</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Directiva </w:t>
      </w:r>
      <w:hyperlink r:id="rId12" w:tgtFrame="_blank" w:history="1">
        <w:r w:rsidRPr="00B053ED">
          <w:rPr>
            <w:rStyle w:val="a3"/>
            <w:rFonts w:ascii="Arial" w:hAnsi="Arial" w:cs="Arial"/>
            <w:sz w:val="17"/>
            <w:szCs w:val="17"/>
            <w:lang w:val="en-US"/>
          </w:rPr>
          <w:t>2008/98/CE</w:t>
        </w:r>
      </w:hyperlink>
      <w:r w:rsidRPr="00B053ED">
        <w:rPr>
          <w:rFonts w:ascii="Arial" w:hAnsi="Arial" w:cs="Arial"/>
          <w:color w:val="333333"/>
          <w:sz w:val="17"/>
          <w:szCs w:val="17"/>
          <w:lang w:val="en-US"/>
        </w:rPr>
        <w:t xml:space="preserve"> a Parlamentului European și a Consiliului din 19 noiembrie 2008 privind deșeurile și de abrogare a anumitor directive (JO L 312, 22.11.2008, p. 3). </w:t>
      </w:r>
    </w:p>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3</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Decizia de punere în aplicare (UE) 2019/1004 a Comisiei din 7 iunie 2019 de stabilire a normelor pentru calculul, verificarea și raportarea datelor privind deșeurile în conformitate cu Directiva </w:t>
      </w:r>
      <w:hyperlink r:id="rId13" w:tgtFrame="_blank" w:history="1">
        <w:r w:rsidRPr="00B053ED">
          <w:rPr>
            <w:rStyle w:val="a3"/>
            <w:rFonts w:ascii="Arial" w:hAnsi="Arial" w:cs="Arial"/>
            <w:sz w:val="17"/>
            <w:szCs w:val="17"/>
            <w:lang w:val="en-US"/>
          </w:rPr>
          <w:t>2008/98/CE</w:t>
        </w:r>
      </w:hyperlink>
      <w:r w:rsidRPr="00B053ED">
        <w:rPr>
          <w:rFonts w:ascii="Arial" w:hAnsi="Arial" w:cs="Arial"/>
          <w:color w:val="333333"/>
          <w:sz w:val="17"/>
          <w:szCs w:val="17"/>
          <w:lang w:val="en-US"/>
        </w:rPr>
        <w:t xml:space="preserve"> a Parlamentului European și a Consiliului și de abrogare a Deciziei de punere în aplicare C (2012) 2384 a Comisiei (JO L 163, 20.6.2019, p. 66). </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color w:val="333333"/>
          <w:sz w:val="17"/>
          <w:szCs w:val="17"/>
          <w:lang w:val="en-US"/>
        </w:rPr>
        <w:t xml:space="preserve">Prin urmare, într-o situație în care deșeurile municipale sunt transferate dintr-un stat membru în alt stat membru sau într-o țară terță în scopul reciclării sau al altei forme de recuperare în conformitate cu Regulamentul (CE) </w:t>
      </w:r>
      <w:hyperlink r:id="rId14" w:tgtFrame="_blank" w:history="1">
        <w:r w:rsidRPr="00B053ED">
          <w:rPr>
            <w:rStyle w:val="a3"/>
            <w:rFonts w:ascii="Arial" w:hAnsi="Arial" w:cs="Arial"/>
            <w:sz w:val="17"/>
            <w:szCs w:val="17"/>
            <w:lang w:val="en-US"/>
          </w:rPr>
          <w:t>nr.</w:t>
        </w:r>
        <w:proofErr w:type="gramEnd"/>
        <w:r w:rsidRPr="00B053ED">
          <w:rPr>
            <w:rStyle w:val="a3"/>
            <w:rFonts w:ascii="Arial" w:hAnsi="Arial" w:cs="Arial"/>
            <w:sz w:val="17"/>
            <w:szCs w:val="17"/>
            <w:lang w:val="en-US"/>
          </w:rPr>
          <w:t xml:space="preserve"> 1013/2006</w:t>
        </w:r>
      </w:hyperlink>
      <w:r w:rsidRPr="00B053ED">
        <w:rPr>
          <w:rFonts w:ascii="Arial" w:hAnsi="Arial" w:cs="Arial"/>
          <w:color w:val="333333"/>
          <w:sz w:val="17"/>
          <w:szCs w:val="17"/>
          <w:lang w:val="en-US"/>
        </w:rPr>
        <w:t xml:space="preserve"> al Parlamentului European și al Consiliului </w:t>
      </w: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4</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cantitatea de deșeuri care este înlăturată în țara de destinație în cursul tratamentului preliminar, înainte ca deșeurile municipale să intre în operațiunea de reciclare, și ulterior este depozitată ar trebui inclusă în cantitatea de deșeuri municipale raportată ca fiind depozitată de statul membru în care au fost colectate deșeurile municipale.</w:t>
      </w:r>
    </w:p>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4</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Regulamentul (CE) </w:t>
      </w:r>
      <w:hyperlink r:id="rId15" w:tgtFrame="_blank" w:history="1">
        <w:r w:rsidRPr="00B053ED">
          <w:rPr>
            <w:rStyle w:val="a3"/>
            <w:rFonts w:ascii="Arial" w:hAnsi="Arial" w:cs="Arial"/>
            <w:sz w:val="17"/>
            <w:szCs w:val="17"/>
            <w:lang w:val="en-US"/>
          </w:rPr>
          <w:t>nr. 1013/2006</w:t>
        </w:r>
      </w:hyperlink>
      <w:r w:rsidRPr="00B053ED">
        <w:rPr>
          <w:rFonts w:ascii="Arial" w:hAnsi="Arial" w:cs="Arial"/>
          <w:color w:val="333333"/>
          <w:sz w:val="17"/>
          <w:szCs w:val="17"/>
          <w:lang w:val="en-US"/>
        </w:rPr>
        <w:t xml:space="preserve"> al Parlamentului European și al Consiliului din 14 iunie 2006 privind transferurile de deșeuri (JO L 190, 12.7.2006, p. 1). </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(4) În conformitate cu articolul 5a alineatul (1) litera (c) din Directiva </w:t>
      </w:r>
      <w:hyperlink r:id="rId16"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xml:space="preserve">, cantitatea de deșeuri municipale care intră în operațiunile de eliminare prin incinerare pentru a fi ulterior depozitate trebuie raportată ca fiind depozitată. Pentru ca fracțiunile deșeurilor municipale care sunt supuse operațiunilor de eliminare prin incinerare, dar nu sunt efectiv depozitate, </w:t>
      </w:r>
      <w:r w:rsidRPr="00B053ED">
        <w:rPr>
          <w:rFonts w:ascii="Arial" w:hAnsi="Arial" w:cs="Arial"/>
          <w:color w:val="333333"/>
          <w:sz w:val="17"/>
          <w:szCs w:val="17"/>
          <w:lang w:val="en-US"/>
        </w:rPr>
        <w:lastRenderedPageBreak/>
        <w:t>să nu fie incluse în cantitatea de deșeuri municipale raportată ca fiind depozitată, materialele care provin din deșeuri municipale și sunt ulterior recuperate din deșeurile rezultate din operațiunile de eliminare prin incinerare ar trebui deduse din materialele care intră în aceste operațiuni.</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(5) Articolul 11a din Directiva 2008/98/CE stabilește o regulă specifică pentru calculul cantității de deșeuri municipale pregătite pentru reutilizare, care exclude toate deșeurile înlăturate în urma operațiunilor de verificare, curățare și reparare pentru a permite reutilizarea fără o sortare sau preprocesare suplimentară. Dacă sunt depozitate ulterior, aceste deșeuri înlăturate ar trebui incluse în cantitatea de deșeuri municipale raportată ca fiind depozitată, pentru a se evita situația în care acestea nu sunt raportate nici ca fiind pregătite pentru reutilizare, nici ca fiind depozitate și pentru ca datele privind deșeurile municipale să fie coerente și să reflecte măsura reală în care se practică depozitarea deșeurilor.</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(6) În conformitate cu articolul 4 alineatul (1) din Decizia de punere în aplicare (UE) 2019/1004, deșeurile înlăturate în cursul reciclării biodeșeurilor municipale nu trebuie incluse în ratele de reciclare a deșeurilor municipale. Dacă sunt depozitate ulterior, aceste deșeuri înlăturate ar trebui incluse în cantitatea de deșeuri municipale raportată ca fiind depozitată, pentru a se evita situația în care acestea nu sunt raportate nici ca fiind reciclate, nici ca fiind depozitate și pentru ca datele privind deșeurile municipale să fie coerente și să reflecte măsura reală în care se practică depozitarea deșeurilor.</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(7) În conformitate cu articolul 5a alineatul (1) litera (d) din Directiva 1999/31/CE, cantitatea de deșeuri produse în cursul operațiunilor de reciclare a deșeurilor municipale și care sunt ulterior depozitate nu trebuie raportată ca fiind depozitată. Pentru a se asigura coerența cu punctele de calculare aplicate în cazul reciclării deșeurilor municipale, stabilite în Decizia de punere în aplicare (UE) </w:t>
      </w:r>
      <w:hyperlink r:id="rId17" w:tgtFrame="_blank" w:history="1">
        <w:r w:rsidRPr="00B053ED">
          <w:rPr>
            <w:rStyle w:val="a3"/>
            <w:rFonts w:ascii="Arial" w:hAnsi="Arial" w:cs="Arial"/>
            <w:sz w:val="17"/>
            <w:szCs w:val="17"/>
            <w:lang w:val="en-US"/>
          </w:rPr>
          <w:t>2019/1004</w:t>
        </w:r>
      </w:hyperlink>
      <w:r w:rsidRPr="00B053ED">
        <w:rPr>
          <w:rFonts w:ascii="Arial" w:hAnsi="Arial" w:cs="Arial"/>
          <w:color w:val="333333"/>
          <w:sz w:val="17"/>
          <w:szCs w:val="17"/>
          <w:lang w:val="en-US"/>
        </w:rPr>
        <w:t>, este necesar să se precizeze că deșeurile produse în cursul operațiunilor de reciclare înseamnă deșeurile produse în cursul reprocesării care are loc după punctele de calculare.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(8) Statele membre trebuie să raporteze datele referitoare la punerea în aplicare a articolului 5 </w:t>
      </w:r>
      <w:hyperlink r:id="rId18" w:anchor="p-58052948" w:tgtFrame="_blank" w:history="1">
        <w:r w:rsidRPr="00B053ED">
          <w:rPr>
            <w:rFonts w:ascii="Arial" w:hAnsi="Arial" w:cs="Arial"/>
            <w:color w:val="0000FF"/>
            <w:sz w:val="17"/>
            <w:szCs w:val="17"/>
            <w:u w:val="single"/>
            <w:lang w:val="en-US"/>
          </w:rPr>
          <w:t>alineatele (2)</w:t>
        </w:r>
      </w:hyperlink>
      <w:r w:rsidRPr="00B053ED">
        <w:rPr>
          <w:rFonts w:ascii="Arial" w:hAnsi="Arial" w:cs="Arial"/>
          <w:color w:val="333333"/>
          <w:sz w:val="17"/>
          <w:szCs w:val="17"/>
          <w:lang w:val="en-US"/>
        </w:rPr>
        <w:t xml:space="preserve">, </w:t>
      </w:r>
      <w:hyperlink r:id="rId19" w:anchor="p-58053106" w:tgtFrame="_blank" w:history="1">
        <w:r w:rsidRPr="00B053ED">
          <w:rPr>
            <w:rFonts w:ascii="Arial" w:hAnsi="Arial" w:cs="Arial"/>
            <w:color w:val="0000FF"/>
            <w:sz w:val="17"/>
            <w:szCs w:val="17"/>
            <w:u w:val="single"/>
            <w:lang w:val="en-US"/>
          </w:rPr>
          <w:t>(5)</w:t>
        </w:r>
      </w:hyperlink>
      <w:r w:rsidRPr="00B053ED">
        <w:rPr>
          <w:rFonts w:ascii="Arial" w:hAnsi="Arial" w:cs="Arial"/>
          <w:color w:val="333333"/>
          <w:sz w:val="17"/>
          <w:szCs w:val="17"/>
          <w:lang w:val="en-US"/>
        </w:rPr>
        <w:t xml:space="preserve"> și </w:t>
      </w:r>
      <w:hyperlink r:id="rId20" w:anchor="p-58053115" w:tgtFrame="_blank" w:history="1">
        <w:r w:rsidRPr="00B053ED">
          <w:rPr>
            <w:rFonts w:ascii="Arial" w:hAnsi="Arial" w:cs="Arial"/>
            <w:color w:val="0000FF"/>
            <w:sz w:val="17"/>
            <w:szCs w:val="17"/>
            <w:u w:val="single"/>
            <w:lang w:val="en-US"/>
          </w:rPr>
          <w:t>(6)</w:t>
        </w:r>
      </w:hyperlink>
      <w:r w:rsidRPr="00B053ED">
        <w:rPr>
          <w:rFonts w:ascii="Arial" w:hAnsi="Arial" w:cs="Arial"/>
          <w:color w:val="333333"/>
          <w:sz w:val="17"/>
          <w:szCs w:val="17"/>
          <w:lang w:val="en-US"/>
        </w:rPr>
        <w:t xml:space="preserve"> din Directiva 1999/31/CE în formatul stabilit de Comisie. Datele trebuie </w:t>
      </w:r>
      <w:proofErr w:type="gramStart"/>
      <w:r w:rsidRPr="00B053ED">
        <w:rPr>
          <w:rFonts w:ascii="Arial" w:hAnsi="Arial" w:cs="Arial"/>
          <w:color w:val="333333"/>
          <w:sz w:val="17"/>
          <w:szCs w:val="17"/>
          <w:lang w:val="en-US"/>
        </w:rPr>
        <w:t>să</w:t>
      </w:r>
      <w:proofErr w:type="gramEnd"/>
      <w:r w:rsidRPr="00B053ED">
        <w:rPr>
          <w:rFonts w:ascii="Arial" w:hAnsi="Arial" w:cs="Arial"/>
          <w:color w:val="333333"/>
          <w:sz w:val="17"/>
          <w:szCs w:val="17"/>
          <w:lang w:val="en-US"/>
        </w:rPr>
        <w:t xml:space="preserve"> fie însoțite de un raport de control al calității. Formatul ar trebui </w:t>
      </w:r>
      <w:proofErr w:type="gramStart"/>
      <w:r w:rsidRPr="00B053ED">
        <w:rPr>
          <w:rFonts w:ascii="Arial" w:hAnsi="Arial" w:cs="Arial"/>
          <w:color w:val="333333"/>
          <w:sz w:val="17"/>
          <w:szCs w:val="17"/>
          <w:lang w:val="en-US"/>
        </w:rPr>
        <w:t>să</w:t>
      </w:r>
      <w:proofErr w:type="gramEnd"/>
      <w:r w:rsidRPr="00B053ED">
        <w:rPr>
          <w:rFonts w:ascii="Arial" w:hAnsi="Arial" w:cs="Arial"/>
          <w:color w:val="333333"/>
          <w:sz w:val="17"/>
          <w:szCs w:val="17"/>
          <w:lang w:val="en-US"/>
        </w:rPr>
        <w:t xml:space="preserve"> asigure faptul că informațiile raportate constituie o bază suficientă pentru verificarea și monitorizarea îndeplinirii obiectivelor stabilite la articolul 5 alineatele (2), (5) și (6) din directiva respectivă.</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(9) Pentru raportarea datelor referitoare la îndeplinirea obiectivelor privind depozitarea deșeurilor municipale biodegradabile, stabilite la articolul 5 </w:t>
      </w:r>
      <w:hyperlink r:id="rId21" w:anchor="p-58052948" w:tgtFrame="_blank" w:history="1">
        <w:r w:rsidRPr="00B053ED">
          <w:rPr>
            <w:rFonts w:ascii="Arial" w:hAnsi="Arial" w:cs="Arial"/>
            <w:color w:val="0000FF"/>
            <w:sz w:val="17"/>
            <w:szCs w:val="17"/>
            <w:u w:val="single"/>
            <w:lang w:val="en-US"/>
          </w:rPr>
          <w:t>alineatul (2)</w:t>
        </w:r>
      </w:hyperlink>
      <w:r w:rsidRPr="00B053ED">
        <w:rPr>
          <w:rFonts w:ascii="Arial" w:hAnsi="Arial" w:cs="Arial"/>
          <w:color w:val="333333"/>
          <w:sz w:val="17"/>
          <w:szCs w:val="17"/>
          <w:lang w:val="en-US"/>
        </w:rPr>
        <w:t xml:space="preserve"> din Directiva 1999/31/CE, statele membre au utilizat formatul prevăzut în Decizia </w:t>
      </w:r>
      <w:hyperlink r:id="rId22" w:tgtFrame="_blank" w:history="1">
        <w:r w:rsidRPr="00B053ED">
          <w:rPr>
            <w:rStyle w:val="a3"/>
            <w:rFonts w:ascii="Arial" w:hAnsi="Arial" w:cs="Arial"/>
            <w:sz w:val="17"/>
            <w:szCs w:val="17"/>
            <w:lang w:val="en-US"/>
          </w:rPr>
          <w:t>2000/738/CE</w:t>
        </w:r>
      </w:hyperlink>
      <w:r w:rsidRPr="00B053ED">
        <w:rPr>
          <w:rFonts w:ascii="Arial" w:hAnsi="Arial" w:cs="Arial"/>
          <w:color w:val="333333"/>
          <w:sz w:val="17"/>
          <w:szCs w:val="17"/>
          <w:lang w:val="en-US"/>
        </w:rPr>
        <w:t xml:space="preserve"> a Comisiei </w:t>
      </w: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5</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w:t>
      </w:r>
      <w:proofErr w:type="gramStart"/>
      <w:r w:rsidRPr="00B053ED">
        <w:rPr>
          <w:rFonts w:ascii="Arial" w:hAnsi="Arial" w:cs="Arial"/>
          <w:color w:val="333333"/>
          <w:sz w:val="17"/>
          <w:szCs w:val="17"/>
          <w:lang w:val="en-US"/>
        </w:rPr>
        <w:t>Întrucât dispozițiile acestei decizii referitoare la transmiterea rapoartelor privind punerea în aplicare a Directivei 1999/31/CE au devenit caduce, decizia respectivă ar trebui abrogată.</w:t>
      </w:r>
      <w:proofErr w:type="gramEnd"/>
      <w:r w:rsidRPr="00B053ED">
        <w:rPr>
          <w:rFonts w:ascii="Arial" w:hAnsi="Arial" w:cs="Arial"/>
          <w:color w:val="333333"/>
          <w:sz w:val="17"/>
          <w:szCs w:val="17"/>
          <w:lang w:val="en-US"/>
        </w:rPr>
        <w:t xml:space="preserve"> Pentru a se asigura continuitatea, ar trebui adoptate dispoziții tranzitorii privind termenul de raportare a datelor referitoare la punerea în aplicare </w:t>
      </w:r>
      <w:proofErr w:type="gramStart"/>
      <w:r w:rsidRPr="00B053ED">
        <w:rPr>
          <w:rFonts w:ascii="Arial" w:hAnsi="Arial" w:cs="Arial"/>
          <w:color w:val="333333"/>
          <w:sz w:val="17"/>
          <w:szCs w:val="17"/>
          <w:lang w:val="en-US"/>
        </w:rPr>
        <w:t>a</w:t>
      </w:r>
      <w:proofErr w:type="gramEnd"/>
      <w:r w:rsidRPr="00B053ED">
        <w:rPr>
          <w:rFonts w:ascii="Arial" w:hAnsi="Arial" w:cs="Arial"/>
          <w:color w:val="333333"/>
          <w:sz w:val="17"/>
          <w:szCs w:val="17"/>
          <w:lang w:val="en-US"/>
        </w:rPr>
        <w:t xml:space="preserve"> articolului 5 </w:t>
      </w:r>
      <w:hyperlink r:id="rId23" w:anchor="p-58052948" w:tgtFrame="_blank" w:history="1">
        <w:r w:rsidRPr="00B053ED">
          <w:rPr>
            <w:rFonts w:ascii="Arial" w:hAnsi="Arial" w:cs="Arial"/>
            <w:color w:val="0000FF"/>
            <w:sz w:val="17"/>
            <w:szCs w:val="17"/>
            <w:u w:val="single"/>
            <w:lang w:val="en-US"/>
          </w:rPr>
          <w:t>alineatul (2)</w:t>
        </w:r>
      </w:hyperlink>
      <w:r w:rsidRPr="00B053ED">
        <w:rPr>
          <w:rFonts w:ascii="Arial" w:hAnsi="Arial" w:cs="Arial"/>
          <w:color w:val="333333"/>
          <w:sz w:val="17"/>
          <w:szCs w:val="17"/>
          <w:lang w:val="en-US"/>
        </w:rPr>
        <w:t xml:space="preserve"> din Directiva 1999/31/CE în anii de referință 2016 și 2017.</w:t>
      </w:r>
    </w:p>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5</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Decizia </w:t>
      </w:r>
      <w:hyperlink r:id="rId24" w:tgtFrame="_blank" w:history="1">
        <w:r w:rsidRPr="00B053ED">
          <w:rPr>
            <w:rStyle w:val="a3"/>
            <w:rFonts w:ascii="Arial" w:hAnsi="Arial" w:cs="Arial"/>
            <w:sz w:val="17"/>
            <w:szCs w:val="17"/>
            <w:lang w:val="en-US"/>
          </w:rPr>
          <w:t>2000/738/CE</w:t>
        </w:r>
      </w:hyperlink>
      <w:r w:rsidRPr="00B053ED">
        <w:rPr>
          <w:rFonts w:ascii="Arial" w:hAnsi="Arial" w:cs="Arial"/>
          <w:color w:val="333333"/>
          <w:sz w:val="17"/>
          <w:szCs w:val="17"/>
          <w:lang w:val="en-US"/>
        </w:rPr>
        <w:t xml:space="preserve"> a Comisiei din 17 noiembrie 2000 privind un chestionar pentru elaborarea de către statele membre a rapoartelor referitoare la punerea în aplicare a Directivei </w:t>
      </w:r>
      <w:hyperlink r:id="rId25"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xml:space="preserve"> privind depozitele de deșeuri (JO L 298, 25.11.2000, p. 24). </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(10) Normele pentru calculul, verificarea și raportarea datelor referitoare la punerea în aplicare a articolului 5 </w:t>
      </w:r>
      <w:hyperlink r:id="rId26" w:anchor="p-58053106" w:tgtFrame="_blank" w:history="1">
        <w:r w:rsidRPr="00B053ED">
          <w:rPr>
            <w:rFonts w:ascii="Arial" w:hAnsi="Arial" w:cs="Arial"/>
            <w:color w:val="0000FF"/>
            <w:sz w:val="17"/>
            <w:szCs w:val="17"/>
            <w:u w:val="single"/>
            <w:lang w:val="en-US"/>
          </w:rPr>
          <w:t>alineatele (5)</w:t>
        </w:r>
      </w:hyperlink>
      <w:r w:rsidRPr="00B053ED">
        <w:rPr>
          <w:rFonts w:ascii="Arial" w:hAnsi="Arial" w:cs="Arial"/>
          <w:color w:val="333333"/>
          <w:sz w:val="17"/>
          <w:szCs w:val="17"/>
          <w:lang w:val="en-US"/>
        </w:rPr>
        <w:t xml:space="preserve"> și </w:t>
      </w:r>
      <w:hyperlink r:id="rId27" w:anchor="p-58053115" w:tgtFrame="_blank" w:history="1">
        <w:r w:rsidRPr="00B053ED">
          <w:rPr>
            <w:rFonts w:ascii="Arial" w:hAnsi="Arial" w:cs="Arial"/>
            <w:color w:val="0000FF"/>
            <w:sz w:val="17"/>
            <w:szCs w:val="17"/>
            <w:u w:val="single"/>
            <w:lang w:val="en-US"/>
          </w:rPr>
          <w:t>(6)</w:t>
        </w:r>
      </w:hyperlink>
      <w:r w:rsidRPr="00B053ED">
        <w:rPr>
          <w:rFonts w:ascii="Arial" w:hAnsi="Arial" w:cs="Arial"/>
          <w:color w:val="333333"/>
          <w:sz w:val="17"/>
          <w:szCs w:val="17"/>
          <w:lang w:val="en-US"/>
        </w:rPr>
        <w:t xml:space="preserve"> din Directiva 1999/31/CE sunt strâns legate de normele care stabilesc formatele pentru raportarea acestor date și a datelor referitoare la punerea în aplicare a articolului 5 </w:t>
      </w:r>
      <w:hyperlink r:id="rId28" w:anchor="p-58052948" w:tgtFrame="_blank" w:history="1">
        <w:r w:rsidRPr="00B053ED">
          <w:rPr>
            <w:rFonts w:ascii="Arial" w:hAnsi="Arial" w:cs="Arial"/>
            <w:color w:val="0000FF"/>
            <w:sz w:val="17"/>
            <w:szCs w:val="17"/>
            <w:u w:val="single"/>
            <w:lang w:val="en-US"/>
          </w:rPr>
          <w:t>alineatul (2)</w:t>
        </w:r>
      </w:hyperlink>
      <w:r w:rsidRPr="00B053ED">
        <w:rPr>
          <w:rFonts w:ascii="Arial" w:hAnsi="Arial" w:cs="Arial"/>
          <w:color w:val="333333"/>
          <w:sz w:val="17"/>
          <w:szCs w:val="17"/>
          <w:lang w:val="en-US"/>
        </w:rPr>
        <w:t xml:space="preserve"> din directiva respectivă. Pentru a asigura coerența acestor norme și a facilita accesul la ele, ambele seturi de norme ar trebui </w:t>
      </w:r>
      <w:proofErr w:type="gramStart"/>
      <w:r w:rsidRPr="00B053ED">
        <w:rPr>
          <w:rFonts w:ascii="Arial" w:hAnsi="Arial" w:cs="Arial"/>
          <w:color w:val="333333"/>
          <w:sz w:val="17"/>
          <w:szCs w:val="17"/>
          <w:lang w:val="en-US"/>
        </w:rPr>
        <w:t>să</w:t>
      </w:r>
      <w:proofErr w:type="gramEnd"/>
      <w:r w:rsidRPr="00B053ED">
        <w:rPr>
          <w:rFonts w:ascii="Arial" w:hAnsi="Arial" w:cs="Arial"/>
          <w:color w:val="333333"/>
          <w:sz w:val="17"/>
          <w:szCs w:val="17"/>
          <w:lang w:val="en-US"/>
        </w:rPr>
        <w:t xml:space="preserve"> fie prevăzute în aceeași decizie.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(11) Măsurile prevăzute în prezenta decizie sunt conforme cu avizul comitetului instituit prin </w:t>
      </w:r>
      <w:hyperlink r:id="rId29" w:anchor="p-58928609" w:tgtFrame="_blank" w:history="1">
        <w:r w:rsidRPr="00B053ED">
          <w:rPr>
            <w:rFonts w:ascii="Arial" w:hAnsi="Arial" w:cs="Arial"/>
            <w:color w:val="0000FF"/>
            <w:sz w:val="17"/>
            <w:szCs w:val="17"/>
            <w:u w:val="single"/>
            <w:lang w:val="en-US"/>
          </w:rPr>
          <w:t>articolul 39</w:t>
        </w:r>
      </w:hyperlink>
      <w:r w:rsidRPr="00B053ED">
        <w:rPr>
          <w:rFonts w:ascii="Arial" w:hAnsi="Arial" w:cs="Arial"/>
          <w:color w:val="333333"/>
          <w:sz w:val="17"/>
          <w:szCs w:val="17"/>
          <w:lang w:val="en-US"/>
        </w:rPr>
        <w:t xml:space="preserve"> din Directiva 2008/98/CE,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ADOPTĂ PREZENTA DECIZIE:</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b/>
          <w:bCs/>
          <w:color w:val="333333"/>
          <w:sz w:val="17"/>
          <w:szCs w:val="17"/>
          <w:lang w:val="en-US"/>
        </w:rPr>
        <w:t>Articolul 1 Definiție</w:t>
      </w:r>
      <w:r w:rsidRPr="00B053ED">
        <w:rPr>
          <w:rFonts w:ascii="Arial" w:hAnsi="Arial" w:cs="Arial"/>
          <w:color w:val="333333"/>
          <w:sz w:val="17"/>
          <w:szCs w:val="17"/>
          <w:lang w:val="en-US"/>
        </w:rPr>
        <w:t xml:space="preserve"> În sensul prezentei decizii, "cantitate" înseamnă masa măsurată în tone.</w:t>
      </w:r>
      <w:proofErr w:type="gramEnd"/>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b/>
          <w:bCs/>
          <w:color w:val="333333"/>
          <w:sz w:val="17"/>
          <w:szCs w:val="17"/>
          <w:lang w:val="en-US"/>
        </w:rPr>
        <w:t>Articolul 2 Calculul deșeurilor municipale raportate ca fiind depozitate în temeiul articolului 5a din Directiva 1999/31/CE</w:t>
      </w:r>
      <w:r w:rsidRPr="00B053ED">
        <w:rPr>
          <w:rFonts w:ascii="Arial" w:hAnsi="Arial" w:cs="Arial"/>
          <w:color w:val="333333"/>
          <w:sz w:val="17"/>
          <w:szCs w:val="17"/>
          <w:lang w:val="en-US"/>
        </w:rPr>
        <w:t xml:space="preserve"> (1) Cantitatea de deșeuri municipale raportată ca fiind depozitată cuprinde toate deșeurile municipale menționate la articolul 5a alineatul (1) literele (b) și (c) din Directiva 1999/31/CE care sunt depozitate în depozitele de deșeuri, inclusiv atunci când prin depozitarea în depozitele de deșeuri a deșeurilor municipale tratate se asigură respectarea punctului 5 din </w:t>
      </w:r>
      <w:hyperlink r:id="rId30" w:anchor="p-58053066" w:tgtFrame="_blank" w:history="1">
        <w:r w:rsidRPr="00B053ED">
          <w:rPr>
            <w:rFonts w:ascii="Arial" w:hAnsi="Arial" w:cs="Arial"/>
            <w:color w:val="0000FF"/>
            <w:sz w:val="17"/>
            <w:szCs w:val="17"/>
            <w:u w:val="single"/>
            <w:lang w:val="en-US"/>
          </w:rPr>
          <w:t>anexa I</w:t>
        </w:r>
      </w:hyperlink>
      <w:r w:rsidRPr="00B053ED">
        <w:rPr>
          <w:rFonts w:ascii="Arial" w:hAnsi="Arial" w:cs="Arial"/>
          <w:color w:val="333333"/>
          <w:sz w:val="17"/>
          <w:szCs w:val="17"/>
          <w:lang w:val="en-US"/>
        </w:rPr>
        <w:t xml:space="preserve"> la Directiva 1999/31/CE.</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color w:val="333333"/>
          <w:sz w:val="17"/>
          <w:szCs w:val="17"/>
          <w:lang w:val="en-US"/>
        </w:rPr>
        <w:t>Cantitatea de deșeuri municipale raportată ca fiind depozitată nu se corectează prin scăderea conținutului său de umiditate.</w:t>
      </w:r>
      <w:proofErr w:type="gramEnd"/>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(2) În sensul articolului 5a alineatul (1) litera (b) din Directiva 1999/31/CE, dacă deșeurile municipale sunt transferate către un alt stat membru sau exportate din Uniune către o țară terță în scopul reciclării sau al altei forme de recuperare în conformitate cu Regulamentul (CE) </w:t>
      </w:r>
      <w:hyperlink r:id="rId31" w:tgtFrame="_blank" w:history="1">
        <w:r w:rsidRPr="00B053ED">
          <w:rPr>
            <w:rStyle w:val="a3"/>
            <w:rFonts w:ascii="Arial" w:hAnsi="Arial" w:cs="Arial"/>
            <w:sz w:val="17"/>
            <w:szCs w:val="17"/>
            <w:lang w:val="en-US"/>
          </w:rPr>
          <w:t>nr. 1013/2006</w:t>
        </w:r>
      </w:hyperlink>
      <w:r w:rsidRPr="00B053ED">
        <w:rPr>
          <w:rFonts w:ascii="Arial" w:hAnsi="Arial" w:cs="Arial"/>
          <w:color w:val="333333"/>
          <w:sz w:val="17"/>
          <w:szCs w:val="17"/>
          <w:lang w:val="en-US"/>
        </w:rPr>
        <w:t>, cantitatea de deșeuri care rezultă din operațiunile de tratare efectuate înaintea reciclării sau a altei forme de recuperare și este ulterior depozitată sau intră în operațiuni de eliminare prin incinerare pentru a fi ulterior depozitată în țara de destinație se include în cantitatea de deșeuri municipale raportată ca fiind depozitată de statul membru în care au fost colectate deșeurile municipale.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lastRenderedPageBreak/>
        <w:t xml:space="preserve">(3) În sensul articolului 5a alineatul (1) litera (c) din Directiva 1999/31/CE, cantitatea de deșeuri municipale care intră în operațiunile de eliminare prin incinerare pentru a fi depozitate ulterior este cantitatea de deșeuri municipale care intră în instalații pentru operațiunile de incinerare clasificate ca D10 în conformitate cu </w:t>
      </w:r>
      <w:hyperlink r:id="rId32" w:anchor="p-58928653" w:tgtFrame="_blank" w:history="1">
        <w:r w:rsidRPr="00B053ED">
          <w:rPr>
            <w:rFonts w:ascii="Arial" w:hAnsi="Arial" w:cs="Arial"/>
            <w:color w:val="0000FF"/>
            <w:sz w:val="17"/>
            <w:szCs w:val="17"/>
            <w:u w:val="single"/>
            <w:lang w:val="en-US"/>
          </w:rPr>
          <w:t>anexa I</w:t>
        </w:r>
      </w:hyperlink>
      <w:r w:rsidRPr="00B053ED">
        <w:rPr>
          <w:rFonts w:ascii="Arial" w:hAnsi="Arial" w:cs="Arial"/>
          <w:color w:val="333333"/>
          <w:sz w:val="17"/>
          <w:szCs w:val="17"/>
          <w:lang w:val="en-US"/>
        </w:rPr>
        <w:t xml:space="preserve"> la Directiva 2008/98/CE, după deducerea materialelor care provin din deșeuri municipale și sunt ulterior recuperate din deșeurile rezultate din aceste operațiuni de eliminare prin incinerare.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Cantitatea de materiale care trebuie dedusă se calculează ținând seama de proporția de deșeuri municipale din deșeurile care intră în instalație și, după caz, de compoziția deșeurilor, altele decât deșeurile municipale, care intră în instalație.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(4) În sensul articolului 5a alineatul (1) litera (d) din Directiva </w:t>
      </w:r>
      <w:hyperlink r:id="rId33"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se aplică următoarele: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(a) </w:t>
      </w:r>
      <w:proofErr w:type="gramStart"/>
      <w:r w:rsidRPr="00B053ED">
        <w:rPr>
          <w:rFonts w:ascii="Arial" w:hAnsi="Arial" w:cs="Arial"/>
          <w:color w:val="333333"/>
          <w:sz w:val="17"/>
          <w:szCs w:val="17"/>
          <w:lang w:val="en-US"/>
        </w:rPr>
        <w:t>deșeurile</w:t>
      </w:r>
      <w:proofErr w:type="gramEnd"/>
      <w:r w:rsidRPr="00B053ED">
        <w:rPr>
          <w:rFonts w:ascii="Arial" w:hAnsi="Arial" w:cs="Arial"/>
          <w:color w:val="333333"/>
          <w:sz w:val="17"/>
          <w:szCs w:val="17"/>
          <w:lang w:val="en-US"/>
        </w:rPr>
        <w:t xml:space="preserve"> care rezultă din operațiunile de verificare, curățare și reparare efectuate în scopul pregătirii deșeurilor municipale pentru reutilizare și sunt ulterior depozitate se includ în cantitatea de deșeuri municipale raportată ca fiind depozitată. Statele membre pot deduce din cantitatea de deșeuri municipale raportată ca fiind depozitată părțile din produsele sau din componentele produselor care sunt înlăturate în cursul operațiunilor de reparare efectuate în scopul pregătirii deșeurilor municipale pentru reutilizare;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(b) </w:t>
      </w:r>
      <w:proofErr w:type="gramStart"/>
      <w:r w:rsidRPr="00B053ED">
        <w:rPr>
          <w:rFonts w:ascii="Arial" w:hAnsi="Arial" w:cs="Arial"/>
          <w:color w:val="333333"/>
          <w:sz w:val="17"/>
          <w:szCs w:val="17"/>
          <w:lang w:val="en-US"/>
        </w:rPr>
        <w:t>materialele</w:t>
      </w:r>
      <w:proofErr w:type="gramEnd"/>
      <w:r w:rsidRPr="00B053ED">
        <w:rPr>
          <w:rFonts w:ascii="Arial" w:hAnsi="Arial" w:cs="Arial"/>
          <w:color w:val="333333"/>
          <w:sz w:val="17"/>
          <w:szCs w:val="17"/>
          <w:lang w:val="en-US"/>
        </w:rPr>
        <w:t xml:space="preserve"> care sunt înlăturate mecanic în cursul sau după tratarea aerobă sau anaerobă a biodeșeurilor municipale și sunt ulterior depozitate se includ în cantitatea de deșeuri municipale raportată ca fiind depozitată;</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(c) deșeurile produse în cursul operațiunilor de reciclare a deșeurilor municipale sunt deșeurile produse în cursul operațiunilor de reciclare la care sunt supuse deșeurile municipale după punctele de calculare definite la </w:t>
      </w:r>
      <w:hyperlink r:id="rId34" w:anchor="p-288826008" w:tgtFrame="_blank" w:history="1">
        <w:r w:rsidRPr="00B053ED">
          <w:rPr>
            <w:rFonts w:ascii="Arial" w:hAnsi="Arial" w:cs="Arial"/>
            <w:color w:val="0000FF"/>
            <w:sz w:val="17"/>
            <w:szCs w:val="17"/>
            <w:u w:val="single"/>
            <w:lang w:val="en-US"/>
          </w:rPr>
          <w:t>articolele 3</w:t>
        </w:r>
      </w:hyperlink>
      <w:r w:rsidRPr="00B053ED">
        <w:rPr>
          <w:rFonts w:ascii="Arial" w:hAnsi="Arial" w:cs="Arial"/>
          <w:color w:val="333333"/>
          <w:sz w:val="17"/>
          <w:szCs w:val="17"/>
          <w:lang w:val="en-US"/>
        </w:rPr>
        <w:t xml:space="preserve"> și </w:t>
      </w:r>
      <w:hyperlink r:id="rId35" w:anchor="p-288826017" w:tgtFrame="_blank" w:history="1">
        <w:r w:rsidRPr="00B053ED">
          <w:rPr>
            <w:rFonts w:ascii="Arial" w:hAnsi="Arial" w:cs="Arial"/>
            <w:color w:val="0000FF"/>
            <w:sz w:val="17"/>
            <w:szCs w:val="17"/>
            <w:u w:val="single"/>
            <w:lang w:val="en-US"/>
          </w:rPr>
          <w:t>4</w:t>
        </w:r>
      </w:hyperlink>
      <w:r w:rsidRPr="00B053ED">
        <w:rPr>
          <w:rFonts w:ascii="Arial" w:hAnsi="Arial" w:cs="Arial"/>
          <w:color w:val="333333"/>
          <w:sz w:val="17"/>
          <w:szCs w:val="17"/>
          <w:lang w:val="en-US"/>
        </w:rPr>
        <w:t xml:space="preserve"> din Decizia de punere în aplicare (UE) 2019/1004.</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b/>
          <w:bCs/>
          <w:color w:val="333333"/>
          <w:sz w:val="17"/>
          <w:szCs w:val="17"/>
          <w:lang w:val="en-US"/>
        </w:rPr>
        <w:t>Articolul 3 Raportarea datelor</w:t>
      </w:r>
      <w:r w:rsidRPr="00B053ED">
        <w:rPr>
          <w:rFonts w:ascii="Arial" w:hAnsi="Arial" w:cs="Arial"/>
          <w:color w:val="333333"/>
          <w:sz w:val="17"/>
          <w:szCs w:val="17"/>
          <w:lang w:val="en-US"/>
        </w:rPr>
        <w:t xml:space="preserve"> (1) Statele membre raportează datele și transmit raportul de verificare a calității privind punerea în aplicare a articolului 5 </w:t>
      </w:r>
      <w:hyperlink r:id="rId36" w:anchor="p-58052948" w:tgtFrame="_blank" w:history="1">
        <w:r w:rsidRPr="00B053ED">
          <w:rPr>
            <w:rFonts w:ascii="Arial" w:hAnsi="Arial" w:cs="Arial"/>
            <w:color w:val="0000FF"/>
            <w:sz w:val="17"/>
            <w:szCs w:val="17"/>
            <w:u w:val="single"/>
            <w:lang w:val="en-US"/>
          </w:rPr>
          <w:t>alineatul (2)</w:t>
        </w:r>
      </w:hyperlink>
      <w:r w:rsidRPr="00B053ED">
        <w:rPr>
          <w:rFonts w:ascii="Arial" w:hAnsi="Arial" w:cs="Arial"/>
          <w:color w:val="333333"/>
          <w:sz w:val="17"/>
          <w:szCs w:val="17"/>
          <w:lang w:val="en-US"/>
        </w:rPr>
        <w:t xml:space="preserve"> din Directiva 1999/31/CE în formatul prevăzut în </w:t>
      </w:r>
      <w:hyperlink r:id="rId37" w:anchor="p-307179436" w:tgtFrame="_blank" w:history="1">
        <w:r w:rsidRPr="00B053ED">
          <w:rPr>
            <w:rFonts w:ascii="Arial" w:hAnsi="Arial" w:cs="Arial"/>
            <w:color w:val="0000FF"/>
            <w:sz w:val="17"/>
            <w:szCs w:val="17"/>
            <w:u w:val="single"/>
            <w:lang w:val="en-US"/>
          </w:rPr>
          <w:t>anexa I</w:t>
        </w:r>
      </w:hyperlink>
      <w:r w:rsidRPr="00B053ED">
        <w:rPr>
          <w:rFonts w:ascii="Arial" w:hAnsi="Arial" w:cs="Arial"/>
          <w:color w:val="333333"/>
          <w:sz w:val="17"/>
          <w:szCs w:val="17"/>
          <w:lang w:val="en-US"/>
        </w:rPr>
        <w:t>.</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(2) Statele membre raportează datele și transmit raportul de verificare a calității privind punerea în aplicare a articolului 5 </w:t>
      </w:r>
      <w:hyperlink r:id="rId38" w:anchor="p-58053106" w:tgtFrame="_blank" w:history="1">
        <w:r w:rsidRPr="00B053ED">
          <w:rPr>
            <w:rFonts w:ascii="Arial" w:hAnsi="Arial" w:cs="Arial"/>
            <w:color w:val="0000FF"/>
            <w:sz w:val="17"/>
            <w:szCs w:val="17"/>
            <w:u w:val="single"/>
            <w:lang w:val="en-US"/>
          </w:rPr>
          <w:t>alineatele (5)</w:t>
        </w:r>
      </w:hyperlink>
      <w:r w:rsidRPr="00B053ED">
        <w:rPr>
          <w:rFonts w:ascii="Arial" w:hAnsi="Arial" w:cs="Arial"/>
          <w:color w:val="333333"/>
          <w:sz w:val="17"/>
          <w:szCs w:val="17"/>
          <w:lang w:val="en-US"/>
        </w:rPr>
        <w:t xml:space="preserve"> și </w:t>
      </w:r>
      <w:hyperlink r:id="rId39" w:anchor="p-58053115" w:tgtFrame="_blank" w:history="1">
        <w:r w:rsidRPr="00B053ED">
          <w:rPr>
            <w:rFonts w:ascii="Arial" w:hAnsi="Arial" w:cs="Arial"/>
            <w:color w:val="0000FF"/>
            <w:sz w:val="17"/>
            <w:szCs w:val="17"/>
            <w:u w:val="single"/>
            <w:lang w:val="en-US"/>
          </w:rPr>
          <w:t>(6)</w:t>
        </w:r>
      </w:hyperlink>
      <w:r w:rsidRPr="00B053ED">
        <w:rPr>
          <w:rFonts w:ascii="Arial" w:hAnsi="Arial" w:cs="Arial"/>
          <w:color w:val="333333"/>
          <w:sz w:val="17"/>
          <w:szCs w:val="17"/>
          <w:lang w:val="en-US"/>
        </w:rPr>
        <w:t xml:space="preserve"> din Directiva 1999/31/CE în formatul prevăzut în </w:t>
      </w:r>
      <w:hyperlink r:id="rId40" w:anchor="p-307179460" w:tgtFrame="_blank" w:history="1">
        <w:r w:rsidRPr="00B053ED">
          <w:rPr>
            <w:rFonts w:ascii="Arial" w:hAnsi="Arial" w:cs="Arial"/>
            <w:color w:val="0000FF"/>
            <w:sz w:val="17"/>
            <w:szCs w:val="17"/>
            <w:u w:val="single"/>
            <w:lang w:val="en-US"/>
          </w:rPr>
          <w:t>anexa II</w:t>
        </w:r>
      </w:hyperlink>
      <w:r w:rsidRPr="00B053ED">
        <w:rPr>
          <w:rFonts w:ascii="Arial" w:hAnsi="Arial" w:cs="Arial"/>
          <w:color w:val="333333"/>
          <w:sz w:val="17"/>
          <w:szCs w:val="17"/>
          <w:lang w:val="en-US"/>
        </w:rPr>
        <w:t>.</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(3) Comisia publică datele raportate de statele membre, cu excepția cazului în care, în ceea ce privește informațiile incluse în rapoartele de verificare a calității, un stat membru transmite o cerere justificată de a nu se publica anumite date.</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b/>
          <w:bCs/>
          <w:color w:val="333333"/>
          <w:sz w:val="17"/>
          <w:szCs w:val="17"/>
          <w:lang w:val="en-US"/>
        </w:rPr>
        <w:t>Articolul 4 Abrogare</w:t>
      </w:r>
      <w:r w:rsidRPr="00B053ED">
        <w:rPr>
          <w:rFonts w:ascii="Arial" w:hAnsi="Arial" w:cs="Arial"/>
          <w:color w:val="333333"/>
          <w:sz w:val="17"/>
          <w:szCs w:val="17"/>
          <w:lang w:val="en-US"/>
        </w:rPr>
        <w:t xml:space="preserve"> Decizia </w:t>
      </w:r>
      <w:hyperlink r:id="rId41" w:tgtFrame="_blank" w:history="1">
        <w:r w:rsidRPr="00B053ED">
          <w:rPr>
            <w:rStyle w:val="a3"/>
            <w:rFonts w:ascii="Arial" w:hAnsi="Arial" w:cs="Arial"/>
            <w:sz w:val="17"/>
            <w:szCs w:val="17"/>
            <w:lang w:val="en-US"/>
          </w:rPr>
          <w:t>2000/738/CE</w:t>
        </w:r>
      </w:hyperlink>
      <w:r w:rsidRPr="00B053ED">
        <w:rPr>
          <w:rFonts w:ascii="Arial" w:hAnsi="Arial" w:cs="Arial"/>
          <w:color w:val="333333"/>
          <w:sz w:val="17"/>
          <w:szCs w:val="17"/>
          <w:lang w:val="en-US"/>
        </w:rPr>
        <w:t xml:space="preserve"> se abrogă.</w:t>
      </w:r>
      <w:proofErr w:type="gramEnd"/>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b/>
          <w:bCs/>
          <w:color w:val="333333"/>
          <w:sz w:val="17"/>
          <w:szCs w:val="17"/>
          <w:lang w:val="en-US"/>
        </w:rPr>
        <w:t>Articolul 5 Dispoziții tranzitorii</w:t>
      </w:r>
      <w:r w:rsidRPr="00B053ED">
        <w:rPr>
          <w:rFonts w:ascii="Arial" w:hAnsi="Arial" w:cs="Arial"/>
          <w:color w:val="333333"/>
          <w:sz w:val="17"/>
          <w:szCs w:val="17"/>
          <w:lang w:val="en-US"/>
        </w:rPr>
        <w:t xml:space="preserve"> Datele referitoare la punerea în aplicare a articolului 5 </w:t>
      </w:r>
      <w:hyperlink r:id="rId42" w:anchor="p-58052948" w:tgtFrame="_blank" w:history="1">
        <w:r w:rsidRPr="00B053ED">
          <w:rPr>
            <w:rFonts w:ascii="Arial" w:hAnsi="Arial" w:cs="Arial"/>
            <w:color w:val="0000FF"/>
            <w:sz w:val="17"/>
            <w:szCs w:val="17"/>
            <w:u w:val="single"/>
            <w:lang w:val="en-US"/>
          </w:rPr>
          <w:t>alineatul (2)</w:t>
        </w:r>
      </w:hyperlink>
      <w:r w:rsidRPr="00B053ED">
        <w:rPr>
          <w:rFonts w:ascii="Arial" w:hAnsi="Arial" w:cs="Arial"/>
          <w:color w:val="333333"/>
          <w:sz w:val="17"/>
          <w:szCs w:val="17"/>
          <w:lang w:val="en-US"/>
        </w:rPr>
        <w:t xml:space="preserve"> din Directiva 1999/31/CE în anii de referință 2016 și 2017 se raportează Comisiei până la 31 decembrie 2019.</w:t>
      </w:r>
    </w:p>
    <w:p w:rsidR="00517657" w:rsidRPr="00B053ED" w:rsidRDefault="00517657">
      <w:pPr>
        <w:pStyle w:val="al"/>
        <w:spacing w:line="276" w:lineRule="atLeast"/>
        <w:rPr>
          <w:rFonts w:ascii="Arial" w:hAnsi="Arial" w:cs="Arial"/>
          <w:color w:val="333333"/>
          <w:sz w:val="17"/>
          <w:szCs w:val="17"/>
          <w:lang w:val="en-US"/>
        </w:rPr>
      </w:pPr>
      <w:proofErr w:type="gramStart"/>
      <w:r w:rsidRPr="00B053ED">
        <w:rPr>
          <w:rFonts w:ascii="Arial" w:hAnsi="Arial" w:cs="Arial"/>
          <w:b/>
          <w:bCs/>
          <w:color w:val="333333"/>
          <w:sz w:val="17"/>
          <w:szCs w:val="17"/>
          <w:lang w:val="en-US"/>
        </w:rPr>
        <w:t>Articolul 6 Destinatari</w:t>
      </w:r>
      <w:r w:rsidRPr="00B053ED">
        <w:rPr>
          <w:rFonts w:ascii="Arial" w:hAnsi="Arial" w:cs="Arial"/>
          <w:color w:val="333333"/>
          <w:sz w:val="17"/>
          <w:szCs w:val="17"/>
          <w:lang w:val="en-US"/>
        </w:rPr>
        <w:t xml:space="preserve"> Prezenta decizie se adresează statelor membre.</w:t>
      </w:r>
      <w:proofErr w:type="gramEnd"/>
    </w:p>
    <w:p w:rsidR="00517657" w:rsidRDefault="00517657">
      <w:pPr>
        <w:pStyle w:val="al"/>
        <w:spacing w:line="276" w:lineRule="atLeast"/>
        <w:rPr>
          <w:rFonts w:ascii="Arial" w:hAnsi="Arial" w:cs="Arial"/>
          <w:color w:val="333333"/>
          <w:sz w:val="17"/>
          <w:szCs w:val="17"/>
        </w:rPr>
      </w:pPr>
      <w:r>
        <w:rPr>
          <w:rFonts w:ascii="Arial" w:hAnsi="Arial" w:cs="Arial"/>
          <w:color w:val="333333"/>
          <w:sz w:val="17"/>
          <w:szCs w:val="17"/>
        </w:rPr>
        <w:t>Adoptată la Bruxelles, 6 noiembrie 2019.</w:t>
      </w:r>
    </w:p>
    <w:p w:rsidR="00517657" w:rsidRDefault="00517657">
      <w:pPr>
        <w:spacing w:line="276" w:lineRule="atLeast"/>
        <w:jc w:val="both"/>
        <w:rPr>
          <w:rFonts w:ascii="Arial" w:eastAsia="Times New Roman" w:hAnsi="Arial" w:cs="Arial"/>
          <w:color w:val="333333"/>
          <w:sz w:val="17"/>
          <w:szCs w:val="17"/>
        </w:rPr>
      </w:pPr>
    </w:p>
    <w:p w:rsidR="00517657" w:rsidRDefault="0051765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3600" w:type="dxa"/>
        <w:jc w:val="center"/>
        <w:tblCellMar>
          <w:top w:w="15" w:type="dxa"/>
          <w:left w:w="15" w:type="dxa"/>
          <w:bottom w:w="15" w:type="dxa"/>
          <w:right w:w="15" w:type="dxa"/>
        </w:tblCellMar>
        <w:tblLook w:val="04A0"/>
      </w:tblPr>
      <w:tblGrid>
        <w:gridCol w:w="17"/>
        <w:gridCol w:w="3583"/>
      </w:tblGrid>
      <w:tr w:rsidR="00517657">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hideMark/>
          </w:tcPr>
          <w:p w:rsidR="00517657" w:rsidRDefault="00517657">
            <w:pPr>
              <w:spacing w:line="276" w:lineRule="atLeast"/>
              <w:rPr>
                <w:rFonts w:ascii="Arial" w:eastAsia="Times New Roman" w:hAnsi="Arial" w:cs="Arial"/>
                <w:color w:val="333333"/>
                <w:sz w:val="2"/>
                <w:szCs w:val="17"/>
              </w:rPr>
            </w:pPr>
          </w:p>
        </w:tc>
      </w:tr>
      <w:tr w:rsidR="00517657" w:rsidRPr="00B053ED">
        <w:trPr>
          <w:trHeight w:val="300"/>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517657" w:rsidRPr="00B053ED" w:rsidRDefault="00517657">
            <w:pPr>
              <w:spacing w:line="276" w:lineRule="atLeast"/>
              <w:jc w:val="center"/>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Pentru Comisie</w:t>
            </w:r>
            <w:r w:rsidRPr="00B053ED">
              <w:rPr>
                <w:rFonts w:ascii="Arial" w:eastAsia="Times New Roman" w:hAnsi="Arial" w:cs="Arial"/>
                <w:color w:val="333333"/>
                <w:sz w:val="14"/>
                <w:szCs w:val="14"/>
                <w:lang w:val="en-US"/>
              </w:rPr>
              <w:br/>
              <w:t>Karmenu VELLA</w:t>
            </w:r>
            <w:r w:rsidRPr="00B053ED">
              <w:rPr>
                <w:rFonts w:ascii="Arial" w:eastAsia="Times New Roman" w:hAnsi="Arial" w:cs="Arial"/>
                <w:color w:val="333333"/>
                <w:sz w:val="14"/>
                <w:szCs w:val="14"/>
                <w:lang w:val="en-US"/>
              </w:rPr>
              <w:br/>
              <w:t xml:space="preserve">Membru al Comisiei </w:t>
            </w:r>
          </w:p>
        </w:tc>
      </w:tr>
    </w:tbl>
    <w:p w:rsidR="00517657" w:rsidRPr="00B053ED" w:rsidRDefault="00517657">
      <w:pPr>
        <w:pStyle w:val="4"/>
        <w:spacing w:line="276" w:lineRule="atLeast"/>
        <w:jc w:val="right"/>
        <w:rPr>
          <w:rFonts w:ascii="Arial" w:eastAsia="Times New Roman" w:hAnsi="Arial" w:cs="Arial"/>
          <w:color w:val="333333"/>
          <w:lang w:val="en-US"/>
        </w:rPr>
      </w:pPr>
      <w:r w:rsidRPr="00B053ED">
        <w:rPr>
          <w:rFonts w:ascii="Arial" w:eastAsia="Times New Roman" w:hAnsi="Arial" w:cs="Arial"/>
          <w:color w:val="333333"/>
          <w:lang w:val="en-US"/>
        </w:rPr>
        <w:t xml:space="preserve">ANEXA I </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t>Formatul pentru raportarea datelor referitoare la depozitarea deșeurilor municipale biodegradabile menționate la articolul 3 alineatul (1)</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Default="0051765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1.</w:t>
      </w:r>
      <w:r>
        <w:rPr>
          <w:rFonts w:ascii="Arial" w:eastAsia="Times New Roman" w:hAnsi="Arial" w:cs="Arial"/>
          <w:b/>
          <w:bCs/>
          <w:color w:val="333333"/>
          <w:sz w:val="20"/>
          <w:szCs w:val="20"/>
        </w:rPr>
        <w:br/>
        <w:t>Formatul pentru raportarea datelor</w:t>
      </w:r>
    </w:p>
    <w:p w:rsidR="00517657" w:rsidRDefault="00517657">
      <w:pPr>
        <w:spacing w:line="276" w:lineRule="atLeast"/>
        <w:jc w:val="both"/>
        <w:rPr>
          <w:rFonts w:ascii="Arial" w:eastAsia="Times New Roman" w:hAnsi="Arial" w:cs="Arial"/>
          <w:color w:val="333333"/>
          <w:sz w:val="17"/>
          <w:szCs w:val="17"/>
        </w:rPr>
      </w:pPr>
    </w:p>
    <w:p w:rsidR="00517657" w:rsidRDefault="0051765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7200" w:type="dxa"/>
        <w:jc w:val="center"/>
        <w:tblCellMar>
          <w:top w:w="15" w:type="dxa"/>
          <w:left w:w="15" w:type="dxa"/>
          <w:bottom w:w="15" w:type="dxa"/>
          <w:right w:w="15" w:type="dxa"/>
        </w:tblCellMar>
        <w:tblLook w:val="04A0"/>
      </w:tblPr>
      <w:tblGrid>
        <w:gridCol w:w="11"/>
        <w:gridCol w:w="2814"/>
        <w:gridCol w:w="2272"/>
        <w:gridCol w:w="2103"/>
      </w:tblGrid>
      <w:tr w:rsidR="00517657">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gridSpan w:val="3"/>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r>
      <w:tr w:rsidR="00517657" w:rsidRPr="00B053ED">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12" w:lineRule="atLeast"/>
              <w:jc w:val="center"/>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 xml:space="preserve">Deșeuri municipale biodegradabile produse în 1995 sau în ultimul an înainte de 1995 pentru care sunt disponibile date Eurostat standardizate sau în anul stabilit în Tratatul de aderare a statelor membre care au aderat la UE după adoptarea Directivei 1999/31/CE a Consiliului </w:t>
            </w:r>
            <w:r w:rsidRPr="00B053ED">
              <w:rPr>
                <w:rStyle w:val="a4"/>
                <w:rFonts w:ascii="Arial" w:eastAsia="Times New Roman" w:hAnsi="Arial" w:cs="Arial"/>
                <w:color w:val="333333"/>
                <w:sz w:val="14"/>
                <w:szCs w:val="14"/>
                <w:lang w:val="en-US"/>
              </w:rPr>
              <w:t>(</w:t>
            </w:r>
            <w:r w:rsidRPr="00B053ED">
              <w:rPr>
                <w:rStyle w:val="a4"/>
                <w:rFonts w:ascii="Arial" w:eastAsia="Times New Roman" w:hAnsi="Arial" w:cs="Arial"/>
                <w:color w:val="333333"/>
                <w:sz w:val="14"/>
                <w:szCs w:val="14"/>
                <w:vertAlign w:val="superscript"/>
                <w:lang w:val="en-US"/>
              </w:rPr>
              <w:t>1</w:t>
            </w:r>
            <w:r w:rsidRPr="00B053ED">
              <w:rPr>
                <w:rStyle w:val="a4"/>
                <w:rFonts w:ascii="Arial" w:eastAsia="Times New Roman" w:hAnsi="Arial" w:cs="Arial"/>
                <w:color w:val="333333"/>
                <w:sz w:val="14"/>
                <w:szCs w:val="14"/>
                <w:lang w:val="en-US"/>
              </w:rPr>
              <w:t>)</w:t>
            </w: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12" w:lineRule="atLeast"/>
              <w:jc w:val="center"/>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Deșeuri municipale biodegradabile depozitate în depozite de deșeuri în anul de referință</w:t>
            </w:r>
          </w:p>
        </w:tc>
      </w:tr>
      <w:tr w:rsidR="00517657">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tcBorders>
              <w:top w:val="single" w:sz="4" w:space="0" w:color="333333"/>
              <w:left w:val="single" w:sz="4" w:space="0" w:color="333333"/>
              <w:bottom w:val="single" w:sz="4" w:space="0" w:color="333333"/>
              <w:right w:val="single" w:sz="4" w:space="0" w:color="333333"/>
            </w:tcBorders>
            <w:shd w:val="clear" w:color="auto" w:fill="auto"/>
            <w:hideMark/>
          </w:tcPr>
          <w:p w:rsidR="00517657" w:rsidRDefault="00517657">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An</w:t>
            </w: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w:t>
            </w: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w:t>
            </w:r>
          </w:p>
        </w:tc>
      </w:tr>
      <w:tr w:rsidR="00517657">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276" w:lineRule="atLeast"/>
              <w:rPr>
                <w:rFonts w:ascii="Arial" w:eastAsia="Times New Roman" w:hAnsi="Arial" w:cs="Arial"/>
                <w:color w:val="333333"/>
                <w:sz w:val="2"/>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276" w:lineRule="atLeast"/>
              <w:rPr>
                <w:rFonts w:ascii="Arial" w:eastAsia="Times New Roman" w:hAnsi="Arial" w:cs="Arial"/>
                <w:color w:val="333333"/>
                <w:sz w:val="2"/>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276" w:lineRule="atLeast"/>
              <w:rPr>
                <w:rFonts w:ascii="Arial" w:eastAsia="Times New Roman" w:hAnsi="Arial" w:cs="Arial"/>
                <w:color w:val="333333"/>
                <w:sz w:val="2"/>
                <w:szCs w:val="14"/>
              </w:rPr>
            </w:pPr>
          </w:p>
        </w:tc>
      </w:tr>
    </w:tbl>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1</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Directiva </w:t>
      </w:r>
      <w:hyperlink r:id="rId43" w:tgtFrame="_blank" w:history="1">
        <w:r w:rsidRPr="00B053ED">
          <w:rPr>
            <w:rStyle w:val="a3"/>
            <w:rFonts w:ascii="Arial" w:hAnsi="Arial" w:cs="Arial"/>
            <w:sz w:val="17"/>
            <w:szCs w:val="17"/>
            <w:lang w:val="en-US"/>
          </w:rPr>
          <w:t>1999/31/CE</w:t>
        </w:r>
      </w:hyperlink>
      <w:r w:rsidRPr="00B053ED">
        <w:rPr>
          <w:rFonts w:ascii="Arial" w:hAnsi="Arial" w:cs="Arial"/>
          <w:color w:val="333333"/>
          <w:sz w:val="17"/>
          <w:szCs w:val="17"/>
          <w:lang w:val="en-US"/>
        </w:rPr>
        <w:t xml:space="preserve"> a Consiliului din 26 aprilie 1999 privind depozitele de deșeuri (JO L 182, 16.7.1999, p. 1). </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proofErr w:type="gramStart"/>
      <w:r w:rsidRPr="00B053ED">
        <w:rPr>
          <w:rFonts w:ascii="Arial" w:eastAsia="Times New Roman" w:hAnsi="Arial" w:cs="Arial"/>
          <w:b/>
          <w:bCs/>
          <w:color w:val="333333"/>
          <w:sz w:val="20"/>
          <w:szCs w:val="20"/>
          <w:lang w:val="en-US"/>
        </w:rPr>
        <w:t>2.</w:t>
      </w:r>
      <w:proofErr w:type="gramEnd"/>
      <w:r w:rsidRPr="00B053ED">
        <w:rPr>
          <w:rFonts w:ascii="Arial" w:eastAsia="Times New Roman" w:hAnsi="Arial" w:cs="Arial"/>
          <w:b/>
          <w:bCs/>
          <w:color w:val="333333"/>
          <w:sz w:val="20"/>
          <w:szCs w:val="20"/>
          <w:lang w:val="en-US"/>
        </w:rPr>
        <w:br/>
        <w:t>Formatul pentru raportul de control al calității care însoțește datele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I. Informații generale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1. Stat membru:</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 Organizația care transmite datele și descrierea:</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3. Persoana de contact/datele de contact:</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4. Anul de referință:</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5. Data transmiterii/versiunea:</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6. Link către datele publicate de statul membru (dacă e cazul):</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II. Informații referitoare la depozitarea deșeurilor municipale biodegradabile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1. Descrierea modului în care </w:t>
      </w:r>
      <w:proofErr w:type="gramStart"/>
      <w:r w:rsidRPr="00B053ED">
        <w:rPr>
          <w:rFonts w:ascii="Arial" w:hAnsi="Arial" w:cs="Arial"/>
          <w:color w:val="333333"/>
          <w:sz w:val="17"/>
          <w:szCs w:val="17"/>
          <w:lang w:val="en-US"/>
        </w:rPr>
        <w:t>este</w:t>
      </w:r>
      <w:proofErr w:type="gramEnd"/>
      <w:r w:rsidRPr="00B053ED">
        <w:rPr>
          <w:rFonts w:ascii="Arial" w:hAnsi="Arial" w:cs="Arial"/>
          <w:color w:val="333333"/>
          <w:sz w:val="17"/>
          <w:szCs w:val="17"/>
          <w:lang w:val="en-US"/>
        </w:rPr>
        <w:t xml:space="preserve"> organizată colectarea datelor, a surselor de date și a metodologiei utilizate</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 Descrierea tipurilor de deșeuri clasificate la nivel național ca deșeuri municipale biodegradabile</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88"/>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3. Descrierea eventualelor estimări utilizate pentru </w:t>
      </w:r>
      <w:proofErr w:type="gramStart"/>
      <w:r w:rsidRPr="00B053ED">
        <w:rPr>
          <w:rFonts w:ascii="Arial" w:hAnsi="Arial" w:cs="Arial"/>
          <w:color w:val="333333"/>
          <w:sz w:val="17"/>
          <w:szCs w:val="17"/>
          <w:lang w:val="en-US"/>
        </w:rPr>
        <w:t>a</w:t>
      </w:r>
      <w:proofErr w:type="gramEnd"/>
      <w:r w:rsidRPr="00B053ED">
        <w:rPr>
          <w:rFonts w:ascii="Arial" w:hAnsi="Arial" w:cs="Arial"/>
          <w:color w:val="333333"/>
          <w:sz w:val="17"/>
          <w:szCs w:val="17"/>
          <w:lang w:val="en-US"/>
        </w:rPr>
        <w:t xml:space="preserve"> acoperi lacunele existente în date</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88"/>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4. Explicarea diferențelor semnificative față de datele din anul de referință precedent</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88"/>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5. Descrierea principalelor aspecte care afectează acuratețea datelor</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88"/>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4"/>
        <w:spacing w:line="276" w:lineRule="atLeast"/>
        <w:jc w:val="right"/>
        <w:rPr>
          <w:rFonts w:ascii="Arial" w:eastAsia="Times New Roman" w:hAnsi="Arial" w:cs="Arial"/>
          <w:color w:val="333333"/>
          <w:lang w:val="en-US"/>
        </w:rPr>
      </w:pPr>
      <w:r w:rsidRPr="00B053ED">
        <w:rPr>
          <w:rFonts w:ascii="Arial" w:eastAsia="Times New Roman" w:hAnsi="Arial" w:cs="Arial"/>
          <w:color w:val="333333"/>
          <w:lang w:val="en-US"/>
        </w:rPr>
        <w:lastRenderedPageBreak/>
        <w:t xml:space="preserve">ANEXA II </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r w:rsidRPr="00B053ED">
        <w:rPr>
          <w:rFonts w:ascii="Arial" w:eastAsia="Times New Roman" w:hAnsi="Arial" w:cs="Arial"/>
          <w:b/>
          <w:bCs/>
          <w:color w:val="333333"/>
          <w:sz w:val="20"/>
          <w:szCs w:val="20"/>
          <w:lang w:val="en-US"/>
        </w:rPr>
        <w:br/>
        <w:t>Formatul pentru raportarea datelor referitoare la deșeurile municipale menționate la articolul 3 alineatul (2)</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Default="0051765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1.</w:t>
      </w:r>
      <w:r>
        <w:rPr>
          <w:rFonts w:ascii="Arial" w:eastAsia="Times New Roman" w:hAnsi="Arial" w:cs="Arial"/>
          <w:b/>
          <w:bCs/>
          <w:color w:val="333333"/>
          <w:sz w:val="20"/>
          <w:szCs w:val="20"/>
        </w:rPr>
        <w:br/>
        <w:t>Formatul pentru raportarea datelor</w:t>
      </w:r>
    </w:p>
    <w:p w:rsidR="00517657" w:rsidRDefault="00517657">
      <w:pPr>
        <w:spacing w:line="276" w:lineRule="atLeast"/>
        <w:jc w:val="both"/>
        <w:rPr>
          <w:rFonts w:ascii="Arial" w:eastAsia="Times New Roman" w:hAnsi="Arial" w:cs="Arial"/>
          <w:color w:val="333333"/>
          <w:sz w:val="17"/>
          <w:szCs w:val="17"/>
        </w:rPr>
      </w:pPr>
    </w:p>
    <w:p w:rsidR="00517657" w:rsidRDefault="00517657">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r>
    </w:p>
    <w:tbl>
      <w:tblPr>
        <w:tblW w:w="7200" w:type="dxa"/>
        <w:jc w:val="center"/>
        <w:tblCellMar>
          <w:top w:w="15" w:type="dxa"/>
          <w:left w:w="15" w:type="dxa"/>
          <w:bottom w:w="15" w:type="dxa"/>
          <w:right w:w="15" w:type="dxa"/>
        </w:tblCellMar>
        <w:tblLook w:val="04A0"/>
      </w:tblPr>
      <w:tblGrid>
        <w:gridCol w:w="11"/>
        <w:gridCol w:w="1405"/>
        <w:gridCol w:w="1590"/>
        <w:gridCol w:w="1250"/>
        <w:gridCol w:w="2944"/>
      </w:tblGrid>
      <w:tr w:rsidR="00517657">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gridSpan w:val="4"/>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r>
      <w:tr w:rsidR="00517657" w:rsidRPr="00B053ED">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12" w:lineRule="atLeast"/>
              <w:jc w:val="center"/>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Generarea de deșeuri municipale</w:t>
            </w:r>
            <w:r w:rsidRPr="00B053ED">
              <w:rPr>
                <w:rFonts w:ascii="Arial" w:eastAsia="Times New Roman" w:hAnsi="Arial" w:cs="Arial"/>
                <w:color w:val="333333"/>
                <w:sz w:val="14"/>
                <w:szCs w:val="14"/>
                <w:lang w:val="en-US"/>
              </w:rPr>
              <w:br/>
              <w:t>(t)</w:t>
            </w: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12" w:lineRule="atLeast"/>
              <w:jc w:val="center"/>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 xml:space="preserve">Depozitarea în depozite de deșeuri </w:t>
            </w:r>
            <w:r w:rsidRPr="00B053ED">
              <w:rPr>
                <w:rStyle w:val="a4"/>
                <w:rFonts w:ascii="Arial" w:eastAsia="Times New Roman" w:hAnsi="Arial" w:cs="Arial"/>
                <w:color w:val="333333"/>
                <w:sz w:val="14"/>
                <w:szCs w:val="14"/>
                <w:lang w:val="en-US"/>
              </w:rPr>
              <w:t>(</w:t>
            </w:r>
            <w:r w:rsidRPr="00B053ED">
              <w:rPr>
                <w:rStyle w:val="a4"/>
                <w:rFonts w:ascii="Arial" w:eastAsia="Times New Roman" w:hAnsi="Arial" w:cs="Arial"/>
                <w:color w:val="333333"/>
                <w:sz w:val="14"/>
                <w:szCs w:val="14"/>
                <w:vertAlign w:val="superscript"/>
                <w:lang w:val="en-US"/>
              </w:rPr>
              <w:t>1</w:t>
            </w:r>
            <w:r w:rsidRPr="00B053ED">
              <w:rPr>
                <w:rStyle w:val="a4"/>
                <w:rFonts w:ascii="Arial" w:eastAsia="Times New Roman" w:hAnsi="Arial" w:cs="Arial"/>
                <w:color w:val="333333"/>
                <w:sz w:val="14"/>
                <w:szCs w:val="14"/>
                <w:lang w:val="en-US"/>
              </w:rPr>
              <w:t>)</w:t>
            </w:r>
            <w:r w:rsidRPr="00B053ED">
              <w:rPr>
                <w:rFonts w:ascii="Arial" w:eastAsia="Times New Roman" w:hAnsi="Arial" w:cs="Arial"/>
                <w:color w:val="333333"/>
                <w:sz w:val="14"/>
                <w:szCs w:val="14"/>
                <w:lang w:val="en-US"/>
              </w:rPr>
              <w:br/>
              <w:t>(t)</w:t>
            </w: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 xml:space="preserve">Eliminarea prin incinerare </w:t>
            </w:r>
            <w:r>
              <w:rPr>
                <w:rStyle w:val="a4"/>
                <w:rFonts w:ascii="Arial" w:eastAsia="Times New Roman" w:hAnsi="Arial" w:cs="Arial"/>
                <w:color w:val="333333"/>
                <w:sz w:val="14"/>
                <w:szCs w:val="14"/>
              </w:rPr>
              <w:t>(</w:t>
            </w:r>
            <w:r>
              <w:rPr>
                <w:rStyle w:val="a4"/>
                <w:rFonts w:ascii="Arial" w:eastAsia="Times New Roman" w:hAnsi="Arial" w:cs="Arial"/>
                <w:color w:val="333333"/>
                <w:sz w:val="14"/>
                <w:szCs w:val="14"/>
                <w:vertAlign w:val="superscript"/>
              </w:rPr>
              <w:t>2</w:t>
            </w:r>
            <w:r>
              <w:rPr>
                <w:rStyle w:val="a4"/>
                <w:rFonts w:ascii="Arial" w:eastAsia="Times New Roman" w:hAnsi="Arial" w:cs="Arial"/>
                <w:color w:val="333333"/>
                <w:sz w:val="14"/>
                <w:szCs w:val="14"/>
              </w:rPr>
              <w:t>)</w:t>
            </w:r>
            <w:r>
              <w:rPr>
                <w:rFonts w:ascii="Arial" w:eastAsia="Times New Roman" w:hAnsi="Arial" w:cs="Arial"/>
                <w:color w:val="333333"/>
                <w:sz w:val="14"/>
                <w:szCs w:val="14"/>
              </w:rPr>
              <w:br/>
              <w:t>(t)</w:t>
            </w: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12" w:lineRule="atLeast"/>
              <w:jc w:val="center"/>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Recuperarea de materiale din deșeurile rezultate după eliminarea prin incinerare</w:t>
            </w:r>
            <w:r w:rsidRPr="00B053ED">
              <w:rPr>
                <w:rFonts w:ascii="Arial" w:eastAsia="Times New Roman" w:hAnsi="Arial" w:cs="Arial"/>
                <w:color w:val="333333"/>
                <w:sz w:val="14"/>
                <w:szCs w:val="14"/>
                <w:lang w:val="en-US"/>
              </w:rPr>
              <w:br/>
              <w:t>(t)</w:t>
            </w:r>
          </w:p>
        </w:tc>
      </w:tr>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276" w:lineRule="atLeast"/>
              <w:rPr>
                <w:rFonts w:ascii="Arial" w:eastAsia="Times New Roman" w:hAnsi="Arial" w:cs="Arial"/>
                <w:color w:val="333333"/>
                <w:sz w:val="2"/>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276" w:lineRule="atLeast"/>
              <w:rPr>
                <w:rFonts w:ascii="Arial" w:eastAsia="Times New Roman" w:hAnsi="Arial" w:cs="Arial"/>
                <w:color w:val="333333"/>
                <w:sz w:val="2"/>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276" w:lineRule="atLeast"/>
              <w:rPr>
                <w:rFonts w:ascii="Arial" w:eastAsia="Times New Roman" w:hAnsi="Arial" w:cs="Arial"/>
                <w:color w:val="333333"/>
                <w:sz w:val="2"/>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276" w:lineRule="atLeast"/>
              <w:rPr>
                <w:rFonts w:ascii="Arial" w:eastAsia="Times New Roman" w:hAnsi="Arial" w:cs="Arial"/>
                <w:color w:val="333333"/>
                <w:sz w:val="2"/>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1</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Această coloană nu </w:t>
      </w:r>
      <w:proofErr w:type="gramStart"/>
      <w:r w:rsidRPr="00B053ED">
        <w:rPr>
          <w:rFonts w:ascii="Arial" w:hAnsi="Arial" w:cs="Arial"/>
          <w:color w:val="333333"/>
          <w:sz w:val="17"/>
          <w:szCs w:val="17"/>
          <w:lang w:val="en-US"/>
        </w:rPr>
        <w:t>include</w:t>
      </w:r>
      <w:proofErr w:type="gramEnd"/>
      <w:r w:rsidRPr="00B053ED">
        <w:rPr>
          <w:rFonts w:ascii="Arial" w:hAnsi="Arial" w:cs="Arial"/>
          <w:color w:val="333333"/>
          <w:sz w:val="17"/>
          <w:szCs w:val="17"/>
          <w:lang w:val="en-US"/>
        </w:rPr>
        <w:t xml:space="preserve"> deșeurile care intră în operațiunile de eliminare prin incinerare pentru a fi ulterior depozitate.</w:t>
      </w:r>
    </w:p>
    <w:p w:rsidR="00517657" w:rsidRPr="00B053ED" w:rsidRDefault="00517657">
      <w:pPr>
        <w:pStyle w:val="al"/>
        <w:spacing w:line="276" w:lineRule="atLeast"/>
        <w:rPr>
          <w:rFonts w:ascii="Arial" w:hAnsi="Arial" w:cs="Arial"/>
          <w:color w:val="333333"/>
          <w:sz w:val="17"/>
          <w:szCs w:val="17"/>
          <w:lang w:val="en-US"/>
        </w:rPr>
      </w:pPr>
      <w:r w:rsidRPr="00B053ED">
        <w:rPr>
          <w:rStyle w:val="a4"/>
          <w:rFonts w:ascii="Arial" w:hAnsi="Arial" w:cs="Arial"/>
          <w:color w:val="333333"/>
          <w:sz w:val="17"/>
          <w:szCs w:val="17"/>
          <w:lang w:val="en-US"/>
        </w:rPr>
        <w:t>(</w:t>
      </w:r>
      <w:r w:rsidRPr="00B053ED">
        <w:rPr>
          <w:rStyle w:val="a4"/>
          <w:rFonts w:ascii="Arial" w:hAnsi="Arial" w:cs="Arial"/>
          <w:color w:val="333333"/>
          <w:sz w:val="17"/>
          <w:szCs w:val="17"/>
          <w:vertAlign w:val="superscript"/>
          <w:lang w:val="en-US"/>
        </w:rPr>
        <w:t>2</w:t>
      </w:r>
      <w:r w:rsidRPr="00B053ED">
        <w:rPr>
          <w:rStyle w:val="a4"/>
          <w:rFonts w:ascii="Arial" w:hAnsi="Arial" w:cs="Arial"/>
          <w:color w:val="333333"/>
          <w:sz w:val="17"/>
          <w:szCs w:val="17"/>
          <w:lang w:val="en-US"/>
        </w:rPr>
        <w:t>)</w:t>
      </w:r>
      <w:r w:rsidRPr="00B053ED">
        <w:rPr>
          <w:rFonts w:ascii="Arial" w:hAnsi="Arial" w:cs="Arial"/>
          <w:color w:val="333333"/>
          <w:sz w:val="17"/>
          <w:szCs w:val="17"/>
          <w:lang w:val="en-US"/>
        </w:rPr>
        <w:t xml:space="preserve"> Eliminarea prin incinerare înseamnă operațiunile efectuate în instalații, care sunt clasificate ca D10 în </w:t>
      </w:r>
      <w:hyperlink r:id="rId44" w:anchor="p-58928653" w:tgtFrame="_blank" w:history="1">
        <w:r w:rsidRPr="00B053ED">
          <w:rPr>
            <w:rFonts w:ascii="Arial" w:hAnsi="Arial" w:cs="Arial"/>
            <w:color w:val="0000FF"/>
            <w:sz w:val="17"/>
            <w:szCs w:val="17"/>
            <w:u w:val="single"/>
            <w:lang w:val="en-US"/>
          </w:rPr>
          <w:t>anexa I</w:t>
        </w:r>
      </w:hyperlink>
      <w:r w:rsidRPr="00B053ED">
        <w:rPr>
          <w:rFonts w:ascii="Arial" w:hAnsi="Arial" w:cs="Arial"/>
          <w:color w:val="333333"/>
          <w:sz w:val="17"/>
          <w:szCs w:val="17"/>
          <w:lang w:val="en-US"/>
        </w:rPr>
        <w:t xml:space="preserve"> la Directiva 2008/98/CE a Parlamentului European și a Consiliului din 19 noiembrie 2008 privind deșeurile și de abrogare a anumitor directive (JO L 312, 22.11.2008, p. 3). </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Pentru calculul prin care se verifică îndeplinirea obiectivelor stabilite la articolul 5 alineatele (5) și (6) din Directiva 1999/31/CE a Consiliului din 26 aprilie 1999 privind depozitele de deșeuri (JO L 182, 16.7.1999, p. 1), suma dintre deșeurile municipale destinate depozitării și deșeurile municipale supuse operațiunilor de eliminare prin incinerare pentru a fi ulterior depozitate, după deducerea materialelor recuperate din deșeurile rezultate în urma acestor operațiuni de eliminare prin incinerare, se împarte la cantitatea de deșeuri municipale generate.</w:t>
      </w:r>
    </w:p>
    <w:p w:rsidR="00517657" w:rsidRPr="00B053ED" w:rsidRDefault="00517657">
      <w:pPr>
        <w:spacing w:line="276" w:lineRule="atLeast"/>
        <w:jc w:val="both"/>
        <w:rPr>
          <w:rFonts w:ascii="Arial" w:eastAsia="Times New Roman" w:hAnsi="Arial" w:cs="Arial"/>
          <w:color w:val="333333"/>
          <w:sz w:val="17"/>
          <w:szCs w:val="17"/>
          <w:lang w:val="en-US"/>
        </w:rPr>
      </w:pPr>
    </w:p>
    <w:p w:rsidR="00517657" w:rsidRPr="00B053ED" w:rsidRDefault="00517657">
      <w:pPr>
        <w:spacing w:line="276" w:lineRule="atLeast"/>
        <w:jc w:val="center"/>
        <w:rPr>
          <w:rFonts w:ascii="Arial" w:eastAsia="Times New Roman" w:hAnsi="Arial" w:cs="Arial"/>
          <w:b/>
          <w:bCs/>
          <w:color w:val="333333"/>
          <w:sz w:val="20"/>
          <w:szCs w:val="20"/>
          <w:lang w:val="en-US"/>
        </w:rPr>
      </w:pPr>
      <w:proofErr w:type="gramStart"/>
      <w:r w:rsidRPr="00B053ED">
        <w:rPr>
          <w:rFonts w:ascii="Arial" w:eastAsia="Times New Roman" w:hAnsi="Arial" w:cs="Arial"/>
          <w:b/>
          <w:bCs/>
          <w:color w:val="333333"/>
          <w:sz w:val="20"/>
          <w:szCs w:val="20"/>
          <w:lang w:val="en-US"/>
        </w:rPr>
        <w:t>2.</w:t>
      </w:r>
      <w:proofErr w:type="gramEnd"/>
      <w:r w:rsidRPr="00B053ED">
        <w:rPr>
          <w:rFonts w:ascii="Arial" w:eastAsia="Times New Roman" w:hAnsi="Arial" w:cs="Arial"/>
          <w:b/>
          <w:bCs/>
          <w:color w:val="333333"/>
          <w:sz w:val="20"/>
          <w:szCs w:val="20"/>
          <w:lang w:val="en-US"/>
        </w:rPr>
        <w:br/>
        <w:t>Formatul pentru raportul de control al calității care însoțește datele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I. Informații generale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1. Stat membru:</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 Organizația care transmite datele și descrierea:</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3. Persoana de contact/datele de contact:</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4. Anul de referință:</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5. Data transmiterii/versiunea:</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6. Link către datele publicate de statul membru (dacă e cazul):</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II. Informații referitoare la depozitarea deșeurilor municipale</w:t>
      </w:r>
    </w:p>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1. Descrierea entităților implicate în colectarea datelor</w:t>
      </w:r>
    </w:p>
    <w:p w:rsidR="00517657" w:rsidRPr="00B053ED" w:rsidRDefault="00517657">
      <w:pPr>
        <w:spacing w:line="276" w:lineRule="atLeast"/>
        <w:jc w:val="center"/>
        <w:rPr>
          <w:rFonts w:ascii="Arial" w:eastAsia="Times New Roman" w:hAnsi="Arial" w:cs="Arial"/>
          <w:b/>
          <w:bCs/>
          <w:color w:val="333333"/>
          <w:sz w:val="20"/>
          <w:szCs w:val="20"/>
          <w:lang w:val="en-US"/>
        </w:rPr>
      </w:pPr>
    </w:p>
    <w:tbl>
      <w:tblPr>
        <w:tblW w:w="7200" w:type="dxa"/>
        <w:jc w:val="center"/>
        <w:tblCellMar>
          <w:top w:w="15" w:type="dxa"/>
          <w:left w:w="15" w:type="dxa"/>
          <w:bottom w:w="15" w:type="dxa"/>
          <w:right w:w="15" w:type="dxa"/>
        </w:tblCellMar>
        <w:tblLook w:val="04A0"/>
      </w:tblPr>
      <w:tblGrid>
        <w:gridCol w:w="21"/>
        <w:gridCol w:w="2472"/>
        <w:gridCol w:w="4707"/>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gridSpan w:val="2"/>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instituției</w:t>
            </w:r>
          </w:p>
        </w:tc>
        <w:tc>
          <w:tcPr>
            <w:tcW w:w="0" w:type="auto"/>
            <w:tcBorders>
              <w:top w:val="single" w:sz="4" w:space="0" w:color="333333"/>
              <w:left w:val="single" w:sz="4" w:space="0" w:color="333333"/>
              <w:bottom w:val="single" w:sz="4" w:space="0" w:color="333333"/>
              <w:right w:val="single" w:sz="4" w:space="0" w:color="333333"/>
            </w:tcBorders>
            <w:hideMark/>
          </w:tcPr>
          <w:p w:rsidR="00517657" w:rsidRDefault="00517657">
            <w:pPr>
              <w:spacing w:line="12"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Descrierea principalelor responsabilități</w:t>
            </w:r>
          </w:p>
        </w:tc>
      </w:tr>
      <w:tr w:rsidR="00517657" w:rsidRPr="00B053ED">
        <w:trPr>
          <w:trHeight w:val="12"/>
          <w:jc w:val="center"/>
        </w:trPr>
        <w:tc>
          <w:tcPr>
            <w:tcW w:w="0" w:type="auto"/>
            <w:tcMar>
              <w:top w:w="0" w:type="dxa"/>
              <w:left w:w="0" w:type="dxa"/>
              <w:bottom w:w="0" w:type="dxa"/>
              <w:right w:w="0" w:type="dxa"/>
            </w:tcMar>
            <w:hideMark/>
          </w:tcPr>
          <w:p w:rsidR="00517657" w:rsidRDefault="00517657">
            <w:pPr>
              <w:spacing w:line="276" w:lineRule="atLeast"/>
              <w:rPr>
                <w:rFonts w:ascii="Arial" w:eastAsia="Times New Roman" w:hAnsi="Arial" w:cs="Arial"/>
                <w:color w:val="333333"/>
                <w:sz w:val="2"/>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517657" w:rsidRPr="00B053ED" w:rsidRDefault="00517657">
            <w:pPr>
              <w:spacing w:line="12" w:lineRule="atLeast"/>
              <w:rPr>
                <w:rFonts w:ascii="Arial" w:eastAsia="Times New Roman" w:hAnsi="Arial" w:cs="Arial"/>
                <w:color w:val="333333"/>
                <w:sz w:val="14"/>
                <w:szCs w:val="14"/>
                <w:lang w:val="en-US"/>
              </w:rPr>
            </w:pPr>
            <w:r w:rsidRPr="00B053ED">
              <w:rPr>
                <w:rFonts w:ascii="Arial" w:eastAsia="Times New Roman" w:hAnsi="Arial" w:cs="Arial"/>
                <w:color w:val="333333"/>
                <w:sz w:val="14"/>
                <w:szCs w:val="14"/>
                <w:lang w:val="en-US"/>
              </w:rPr>
              <w:t>A se adăuga rânduri, dacă este cazul.</w:t>
            </w: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 Descrierea metodelor utilizate</w:t>
      </w:r>
    </w:p>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2.1. Descrierea generală a colectării datelor referitoare la depozitarea deșeurilor municipale, inclusiv a surselor de date (date administrative; studii; registru electronic; date furnizate de operatorii din domeniul gestionării deșeurilor; date furnizate de municipalități)</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2.2. Descrierea metodologiei utilizate pentru a include deșeurile care rezultă din operațiunile de tratare efectuate înaintea reciclării sau a altor forme de recuperare a deșeurilor municipale și care sunt ulterior depozitate</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2.2.1. Descrierea abordării folosite pentru a asigura trasabilitatea deșeurilor municipale atunci când sunt supuse tratării, inclusiv a modului de utilizare a codurilor referitoare la generarea deșeurilor municipale (cum ar fi cele din capitolul 20 al listei deșeurilor stabilite prin Decizia </w:t>
      </w:r>
      <w:hyperlink r:id="rId45" w:tgtFrame="_blank" w:history="1">
        <w:r w:rsidRPr="00B053ED">
          <w:rPr>
            <w:rStyle w:val="a3"/>
            <w:rFonts w:ascii="Arial" w:hAnsi="Arial" w:cs="Arial"/>
            <w:sz w:val="17"/>
            <w:szCs w:val="17"/>
            <w:lang w:val="en-US"/>
          </w:rPr>
          <w:t>2000/532/CE</w:t>
        </w:r>
      </w:hyperlink>
      <w:r w:rsidRPr="00B053ED">
        <w:rPr>
          <w:rFonts w:ascii="Arial" w:hAnsi="Arial" w:cs="Arial"/>
          <w:color w:val="333333"/>
          <w:sz w:val="17"/>
          <w:szCs w:val="17"/>
          <w:lang w:val="en-US"/>
        </w:rPr>
        <w:t xml:space="preserve"> a Comisiei din 3 mai 2000 de înlocuire a Deciziei 94/3/CE de stabilire a unei liste de deșeuri în temeiul articolului 1 </w:t>
      </w:r>
      <w:hyperlink r:id="rId46" w:anchor="p-57517456" w:tgtFrame="_blank" w:history="1">
        <w:r w:rsidRPr="00B053ED">
          <w:rPr>
            <w:rFonts w:ascii="Arial" w:hAnsi="Arial" w:cs="Arial"/>
            <w:color w:val="0000FF"/>
            <w:sz w:val="17"/>
            <w:szCs w:val="17"/>
            <w:u w:val="single"/>
            <w:lang w:val="en-US"/>
          </w:rPr>
          <w:t>litera (a)</w:t>
        </w:r>
      </w:hyperlink>
      <w:r w:rsidRPr="00B053ED">
        <w:rPr>
          <w:rFonts w:ascii="Arial" w:hAnsi="Arial" w:cs="Arial"/>
          <w:color w:val="333333"/>
          <w:sz w:val="17"/>
          <w:szCs w:val="17"/>
          <w:lang w:val="en-US"/>
        </w:rPr>
        <w:t xml:space="preserve"> din Directiva 75/442/CEE a Consiliului privind deșeurile și a Directivei 94/904/CE a Consiliului de stabilire a unei liste de deșeuri periculoase în temeiul articolului 1 </w:t>
      </w:r>
      <w:hyperlink r:id="rId47" w:anchor="p-57782753" w:tgtFrame="_blank" w:history="1">
        <w:r w:rsidRPr="00B053ED">
          <w:rPr>
            <w:rFonts w:ascii="Arial" w:hAnsi="Arial" w:cs="Arial"/>
            <w:color w:val="0000FF"/>
            <w:sz w:val="17"/>
            <w:szCs w:val="17"/>
            <w:u w:val="single"/>
            <w:lang w:val="en-US"/>
          </w:rPr>
          <w:t>alineatul (4)</w:t>
        </w:r>
      </w:hyperlink>
      <w:r w:rsidRPr="00B053ED">
        <w:rPr>
          <w:rFonts w:ascii="Arial" w:hAnsi="Arial" w:cs="Arial"/>
          <w:color w:val="333333"/>
          <w:sz w:val="17"/>
          <w:szCs w:val="17"/>
          <w:lang w:val="en-US"/>
        </w:rPr>
        <w:t xml:space="preserve"> din Directiva 91/689/CEE a Consiliului privind deșeurile periculoase (JO L 226. </w:t>
      </w:r>
      <w:r w:rsidRPr="00B65E53">
        <w:rPr>
          <w:rFonts w:ascii="Arial" w:hAnsi="Arial" w:cs="Arial"/>
          <w:color w:val="333333"/>
          <w:sz w:val="17"/>
          <w:szCs w:val="17"/>
          <w:lang w:val="en-US"/>
        </w:rPr>
        <w:t>6.9.2000, p. 3) și a codurilor referitoare la deșeurile rezultate din tratarea deșeurilor (cum ar fi cele din capitolul 19 al listei deșeurilor stabilite prin decizia menționată)</w:t>
      </w:r>
    </w:p>
    <w:tbl>
      <w:tblPr>
        <w:tblW w:w="6060" w:type="dxa"/>
        <w:jc w:val="center"/>
        <w:tblCellMar>
          <w:top w:w="15" w:type="dxa"/>
          <w:left w:w="15" w:type="dxa"/>
          <w:bottom w:w="15" w:type="dxa"/>
          <w:right w:w="15" w:type="dxa"/>
        </w:tblCellMar>
        <w:tblLook w:val="04A0"/>
      </w:tblPr>
      <w:tblGrid>
        <w:gridCol w:w="1212"/>
        <w:gridCol w:w="4848"/>
      </w:tblGrid>
      <w:tr w:rsidR="00517657" w:rsidRPr="00B65E53">
        <w:trPr>
          <w:trHeight w:val="12"/>
          <w:jc w:val="center"/>
        </w:trPr>
        <w:tc>
          <w:tcPr>
            <w:tcW w:w="0" w:type="auto"/>
            <w:tcMar>
              <w:top w:w="0" w:type="dxa"/>
              <w:left w:w="0" w:type="dxa"/>
              <w:bottom w:w="0" w:type="dxa"/>
              <w:right w:w="0" w:type="dxa"/>
            </w:tcMar>
            <w:hideMark/>
          </w:tcPr>
          <w:p w:rsidR="00517657" w:rsidRPr="00B65E53"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65E53" w:rsidRDefault="00517657">
            <w:pPr>
              <w:spacing w:line="276" w:lineRule="atLeast"/>
              <w:rPr>
                <w:rFonts w:ascii="Arial" w:eastAsia="Times New Roman" w:hAnsi="Arial" w:cs="Arial"/>
                <w:color w:val="333333"/>
                <w:sz w:val="2"/>
                <w:szCs w:val="17"/>
                <w:lang w:val="en-US"/>
              </w:rPr>
            </w:pPr>
          </w:p>
        </w:tc>
      </w:tr>
      <w:tr w:rsidR="00517657" w:rsidRPr="00B65E53">
        <w:trPr>
          <w:trHeight w:val="240"/>
          <w:jc w:val="center"/>
        </w:trPr>
        <w:tc>
          <w:tcPr>
            <w:tcW w:w="0" w:type="auto"/>
            <w:tcMar>
              <w:top w:w="0" w:type="dxa"/>
              <w:left w:w="0" w:type="dxa"/>
              <w:bottom w:w="0" w:type="dxa"/>
              <w:right w:w="0" w:type="dxa"/>
            </w:tcMar>
            <w:hideMark/>
          </w:tcPr>
          <w:p w:rsidR="00517657" w:rsidRPr="00B65E53"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65E53"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2.3. Descrierea abordării utilizate pentru a include deșeurile care rezultă din operațiunile de tratare efectuate înaintea reciclării sau a altor forme de recuperare a deșeurilor municipale și care sunt ulterior depozitate în afara statului membru</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2.4. Descrierea modului de colectare a datelor referitoare la deșeurile municipale care intră în operațiunile de eliminare prin incinerare pentru a fi ulterior depozitate, inclusiv a metodologiei utilizate pentru calcularea materialelor provenite din deșeurile municipale care sunt recuperate din deșeurile rezultate din operațiunile de eliminare prin incinerare</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 xml:space="preserve">2.5. Descrierea eventualelor estimări utilizate pentru </w:t>
      </w:r>
      <w:proofErr w:type="gramStart"/>
      <w:r w:rsidRPr="00B053ED">
        <w:rPr>
          <w:rFonts w:ascii="Arial" w:hAnsi="Arial" w:cs="Arial"/>
          <w:color w:val="333333"/>
          <w:sz w:val="17"/>
          <w:szCs w:val="17"/>
          <w:lang w:val="en-US"/>
        </w:rPr>
        <w:t>a</w:t>
      </w:r>
      <w:proofErr w:type="gramEnd"/>
      <w:r w:rsidRPr="00B053ED">
        <w:rPr>
          <w:rFonts w:ascii="Arial" w:hAnsi="Arial" w:cs="Arial"/>
          <w:color w:val="333333"/>
          <w:sz w:val="17"/>
          <w:szCs w:val="17"/>
          <w:lang w:val="en-US"/>
        </w:rPr>
        <w:t xml:space="preserve"> acoperi lacunele existente în datele referitoare la deșeurile municipale depozitate</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2.6. Diferențele față de datele din anul de referință precedent</w:t>
      </w:r>
    </w:p>
    <w:p w:rsidR="00517657" w:rsidRPr="00B65E53" w:rsidRDefault="00517657" w:rsidP="00B65E53">
      <w:pPr>
        <w:pStyle w:val="al"/>
        <w:spacing w:line="276" w:lineRule="atLeast"/>
        <w:rPr>
          <w:rFonts w:ascii="Arial" w:hAnsi="Arial" w:cs="Arial"/>
          <w:color w:val="333333"/>
          <w:sz w:val="17"/>
          <w:szCs w:val="17"/>
          <w:lang w:val="en-US"/>
        </w:rPr>
      </w:pPr>
      <w:proofErr w:type="gramStart"/>
      <w:r w:rsidRPr="00B053ED">
        <w:rPr>
          <w:rFonts w:ascii="Arial" w:hAnsi="Arial" w:cs="Arial"/>
          <w:color w:val="333333"/>
          <w:sz w:val="17"/>
          <w:szCs w:val="17"/>
          <w:lang w:val="en-US"/>
        </w:rPr>
        <w:t>Modificările semnificative ale metodei de calcul utilizate pentru anul de referință curent, dacă există (în special revizuirile retroactive și natura acestora, precizând dacă trebuie marcată o întrerupere a seriilor într-un anumit an).</w:t>
      </w:r>
      <w:proofErr w:type="gramEnd"/>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Explicarea detaliată a cauzelor diferenței de tonaj atunci când deșeurile municipale destinate depozitării sau supuse operațiunilor de eliminare prin incinerare pentru a fi ulterior depozitate prezintă o variație mai mare de 10 % față de datele transmise pentru anul de referință precedent</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3. Acuratețea datelor</w:t>
      </w:r>
    </w:p>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3.1. Descrierea principalelor aspecte care afectează acuratețea datelor referitoare la depozitarea deșeurilor municipale</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3.2. Precizarea domeniului acoperit și a valabilității studiilor efectuate pentru a colecta date referitoare la depozitarea deșeurilor municipale</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053ED" w:rsidRDefault="00517657">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4. Confidențialitate</w:t>
      </w:r>
    </w:p>
    <w:p w:rsidR="00517657" w:rsidRPr="00B65E53" w:rsidRDefault="00517657" w:rsidP="00B65E53">
      <w:pPr>
        <w:pStyle w:val="al"/>
        <w:spacing w:line="276" w:lineRule="atLeast"/>
        <w:rPr>
          <w:rFonts w:ascii="Arial" w:hAnsi="Arial" w:cs="Arial"/>
          <w:color w:val="333333"/>
          <w:sz w:val="17"/>
          <w:szCs w:val="17"/>
          <w:lang w:val="en-US"/>
        </w:rPr>
      </w:pPr>
      <w:proofErr w:type="gramStart"/>
      <w:r w:rsidRPr="00B053ED">
        <w:rPr>
          <w:rFonts w:ascii="Arial" w:hAnsi="Arial" w:cs="Arial"/>
          <w:color w:val="333333"/>
          <w:sz w:val="17"/>
          <w:szCs w:val="17"/>
          <w:lang w:val="en-US"/>
        </w:rPr>
        <w:t>Justificarea unei eventuale cereri de a nu publica anumite părți din prezentul raport.</w:t>
      </w:r>
      <w:proofErr w:type="gramEnd"/>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Pr="00B65E53" w:rsidRDefault="00517657" w:rsidP="00B65E53">
      <w:pPr>
        <w:pStyle w:val="al"/>
        <w:spacing w:line="276" w:lineRule="atLeast"/>
        <w:rPr>
          <w:rFonts w:ascii="Arial" w:hAnsi="Arial" w:cs="Arial"/>
          <w:color w:val="333333"/>
          <w:sz w:val="17"/>
          <w:szCs w:val="17"/>
          <w:lang w:val="en-US"/>
        </w:rPr>
      </w:pPr>
      <w:r w:rsidRPr="00B053ED">
        <w:rPr>
          <w:rFonts w:ascii="Arial" w:hAnsi="Arial" w:cs="Arial"/>
          <w:color w:val="333333"/>
          <w:sz w:val="17"/>
          <w:szCs w:val="17"/>
          <w:lang w:val="en-US"/>
        </w:rPr>
        <w:t>5. Principalele site-uri web, documente de referință și publicații naționale</w:t>
      </w:r>
    </w:p>
    <w:tbl>
      <w:tblPr>
        <w:tblW w:w="6060" w:type="dxa"/>
        <w:jc w:val="center"/>
        <w:tblCellMar>
          <w:top w:w="15" w:type="dxa"/>
          <w:left w:w="15" w:type="dxa"/>
          <w:bottom w:w="15" w:type="dxa"/>
          <w:right w:w="15" w:type="dxa"/>
        </w:tblCellMar>
        <w:tblLook w:val="04A0"/>
      </w:tblPr>
      <w:tblGrid>
        <w:gridCol w:w="1212"/>
        <w:gridCol w:w="4848"/>
      </w:tblGrid>
      <w:tr w:rsidR="00517657" w:rsidRPr="00B053ED">
        <w:trPr>
          <w:trHeight w:val="12"/>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2"/>
                <w:szCs w:val="17"/>
                <w:lang w:val="en-US"/>
              </w:rPr>
            </w:pPr>
          </w:p>
        </w:tc>
        <w:tc>
          <w:tcPr>
            <w:tcW w:w="0" w:type="auto"/>
            <w:hideMark/>
          </w:tcPr>
          <w:p w:rsidR="00517657" w:rsidRPr="00B053ED" w:rsidRDefault="00517657">
            <w:pPr>
              <w:spacing w:line="276" w:lineRule="atLeast"/>
              <w:rPr>
                <w:rFonts w:ascii="Arial" w:eastAsia="Times New Roman" w:hAnsi="Arial" w:cs="Arial"/>
                <w:color w:val="333333"/>
                <w:sz w:val="2"/>
                <w:szCs w:val="17"/>
                <w:lang w:val="en-US"/>
              </w:rPr>
            </w:pPr>
          </w:p>
        </w:tc>
      </w:tr>
      <w:tr w:rsidR="00517657" w:rsidRPr="00B053ED">
        <w:trPr>
          <w:trHeight w:val="240"/>
          <w:jc w:val="center"/>
        </w:trPr>
        <w:tc>
          <w:tcPr>
            <w:tcW w:w="0" w:type="auto"/>
            <w:tcMar>
              <w:top w:w="0" w:type="dxa"/>
              <w:left w:w="0" w:type="dxa"/>
              <w:bottom w:w="0" w:type="dxa"/>
              <w:right w:w="0" w:type="dxa"/>
            </w:tcMar>
            <w:hideMark/>
          </w:tcPr>
          <w:p w:rsidR="00517657" w:rsidRPr="00B053ED" w:rsidRDefault="00517657">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2" w:space="0" w:color="333333"/>
            </w:tcBorders>
            <w:shd w:val="clear" w:color="auto" w:fill="auto"/>
            <w:hideMark/>
          </w:tcPr>
          <w:p w:rsidR="00517657" w:rsidRPr="00B053ED" w:rsidRDefault="00517657">
            <w:pPr>
              <w:spacing w:line="276" w:lineRule="atLeast"/>
              <w:rPr>
                <w:rFonts w:ascii="Arial" w:eastAsia="Times New Roman" w:hAnsi="Arial" w:cs="Arial"/>
                <w:color w:val="333333"/>
                <w:sz w:val="14"/>
                <w:szCs w:val="14"/>
                <w:lang w:val="en-US"/>
              </w:rPr>
            </w:pPr>
          </w:p>
        </w:tc>
      </w:tr>
    </w:tbl>
    <w:p w:rsidR="00517657" w:rsidRDefault="00517657">
      <w:r>
        <w:rPr>
          <w:rFonts w:ascii="Arial" w:eastAsia="Times New Roman" w:hAnsi="Arial" w:cs="Arial"/>
          <w:b/>
          <w:bCs/>
          <w:color w:val="333333"/>
          <w:sz w:val="20"/>
          <w:szCs w:val="20"/>
        </w:rPr>
        <w:pict/>
      </w:r>
    </w:p>
    <w:sectPr w:rsidR="00517657">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517657"/>
    <w:rsid w:val="00517657"/>
    <w:rsid w:val="00B053ED"/>
    <w:rsid w:val="00B65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7657"/>
    <w:pPr>
      <w:spacing w:after="0" w:line="456" w:lineRule="atLeast"/>
      <w:jc w:val="both"/>
      <w:outlineLvl w:val="0"/>
    </w:pPr>
    <w:rPr>
      <w:rFonts w:ascii="Cambria" w:hAnsi="Cambria" w:cs="Times New Roman"/>
      <w:color w:val="2A76A7"/>
      <w:kern w:val="36"/>
      <w:sz w:val="25"/>
      <w:szCs w:val="25"/>
    </w:rPr>
  </w:style>
  <w:style w:type="paragraph" w:styleId="3">
    <w:name w:val="heading 3"/>
    <w:basedOn w:val="a"/>
    <w:link w:val="30"/>
    <w:uiPriority w:val="9"/>
    <w:qFormat/>
    <w:rsid w:val="00517657"/>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517657"/>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657"/>
    <w:rPr>
      <w:rFonts w:ascii="Cambria" w:hAnsi="Cambria" w:cs="Times New Roman"/>
      <w:color w:val="2A76A7"/>
      <w:kern w:val="36"/>
      <w:sz w:val="25"/>
      <w:szCs w:val="25"/>
    </w:rPr>
  </w:style>
  <w:style w:type="character" w:customStyle="1" w:styleId="30">
    <w:name w:val="Заголовок 3 Знак"/>
    <w:basedOn w:val="a0"/>
    <w:link w:val="3"/>
    <w:uiPriority w:val="9"/>
    <w:rsid w:val="00517657"/>
    <w:rPr>
      <w:rFonts w:ascii="Times New Roman" w:hAnsi="Times New Roman" w:cs="Times New Roman"/>
      <w:sz w:val="19"/>
      <w:szCs w:val="19"/>
    </w:rPr>
  </w:style>
  <w:style w:type="character" w:customStyle="1" w:styleId="40">
    <w:name w:val="Заголовок 4 Знак"/>
    <w:basedOn w:val="a0"/>
    <w:link w:val="4"/>
    <w:uiPriority w:val="9"/>
    <w:rsid w:val="00517657"/>
    <w:rPr>
      <w:rFonts w:ascii="Times New Roman" w:hAnsi="Times New Roman" w:cs="Times New Roman"/>
      <w:b/>
      <w:bCs/>
      <w:sz w:val="24"/>
      <w:szCs w:val="24"/>
    </w:rPr>
  </w:style>
  <w:style w:type="character" w:styleId="a3">
    <w:name w:val="Hyperlink"/>
    <w:basedOn w:val="a0"/>
    <w:uiPriority w:val="99"/>
    <w:semiHidden/>
    <w:unhideWhenUsed/>
    <w:rsid w:val="00517657"/>
    <w:rPr>
      <w:color w:val="0000FF"/>
      <w:u w:val="single"/>
    </w:rPr>
  </w:style>
  <w:style w:type="character" w:styleId="a4">
    <w:name w:val="Strong"/>
    <w:basedOn w:val="a0"/>
    <w:uiPriority w:val="22"/>
    <w:qFormat/>
    <w:rsid w:val="00517657"/>
    <w:rPr>
      <w:b/>
      <w:bCs/>
    </w:rPr>
  </w:style>
  <w:style w:type="paragraph" w:customStyle="1" w:styleId="al">
    <w:name w:val="a_l"/>
    <w:basedOn w:val="a"/>
    <w:rsid w:val="00517657"/>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7541883">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i3tsmjwha/directiva-nr-98-2008-privind-deseurile-si-de-abrogare-a-anumitor-directive-text-cu-relevanta-pentru-see?d=2021-07-15" TargetMode="External"/><Relationship Id="rId18" Type="http://schemas.openxmlformats.org/officeDocument/2006/relationships/hyperlink" Target="http://lege5.ro/App/Document/gi3tcmjxhe/directiva-nr-31-1999-privind-rampele-de-gunoi?pid=58052948&amp;d=2021-07-15" TargetMode="External"/><Relationship Id="rId26" Type="http://schemas.openxmlformats.org/officeDocument/2006/relationships/hyperlink" Target="http://lege5.ro/App/Document/gi3tcmjxhe/directiva-nr-31-1999-privind-rampele-de-gunoi?pid=58053106&amp;d=2021-07-15" TargetMode="External"/><Relationship Id="rId39" Type="http://schemas.openxmlformats.org/officeDocument/2006/relationships/hyperlink" Target="http://lege5.ro/App/Document/gi3tcmjxhe/directiva-nr-31-1999-privind-rampele-de-gunoi?pid=58053115&amp;d=2021-07-15" TargetMode="External"/><Relationship Id="rId3" Type="http://schemas.openxmlformats.org/officeDocument/2006/relationships/webSettings" Target="webSettings.xml"/><Relationship Id="rId21" Type="http://schemas.openxmlformats.org/officeDocument/2006/relationships/hyperlink" Target="http://lege5.ro/App/Document/gi3tcmjxhe/directiva-nr-31-1999-privind-rampele-de-gunoi?pid=58052948&amp;d=2021-07-15" TargetMode="External"/><Relationship Id="rId34" Type="http://schemas.openxmlformats.org/officeDocument/2006/relationships/hyperlink" Target="http://lege5.ro/App/Document/gmztomjvgy3q/decizia-de-punere-in-aplicare-nr-1004-2019-de-stabilire-a-normelor-pentru-calculul-verificarea-si-raportarea-datelor-privind-deseurile-in-conformitate-cu-directiva-2008-98-ce-a-parlamentului-european-?pid=288826008&amp;d=2021-07-15" TargetMode="External"/><Relationship Id="rId42" Type="http://schemas.openxmlformats.org/officeDocument/2006/relationships/hyperlink" Target="http://lege5.ro/App/Document/gi3tcmjxhe/directiva-nr-31-1999-privind-rampele-de-gunoi?pid=58052948&amp;d=2021-07-15" TargetMode="External"/><Relationship Id="rId47" Type="http://schemas.openxmlformats.org/officeDocument/2006/relationships/hyperlink" Target="http://lege5.ro/App/Document/gi3dqmzygi/directiva-nr-689-1991-privind-deseurile-periculoase?pid=57782753&amp;d=2021-07-15" TargetMode="External"/><Relationship Id="rId7" Type="http://schemas.openxmlformats.org/officeDocument/2006/relationships/hyperlink" Target="http://lege5.ro/App/Document/gi3tcmjxhe/directiva-nr-31-1999-privind-rampele-de-gunoi?d=2021-07-15" TargetMode="External"/><Relationship Id="rId12" Type="http://schemas.openxmlformats.org/officeDocument/2006/relationships/hyperlink" Target="http://lege5.ro/App/Document/gi3tsmjwha/directiva-nr-98-2008-privind-deseurile-si-de-abrogare-a-anumitor-directive-text-cu-relevanta-pentru-see?d=2021-07-15" TargetMode="External"/><Relationship Id="rId17" Type="http://schemas.openxmlformats.org/officeDocument/2006/relationships/hyperlink" Target="http://lege5.ro/App/Document/gmztomjvgy3q/decizia-de-punere-in-aplicare-nr-1004-2019-de-stabilire-a-normelor-pentru-calculul-verificarea-si-raportarea-datelor-privind-deseurile-in-conformitate-cu-directiva-2008-98-ce-a-parlamentului-european-?d=2021-07-15" TargetMode="External"/><Relationship Id="rId25" Type="http://schemas.openxmlformats.org/officeDocument/2006/relationships/hyperlink" Target="http://lege5.ro/App/Document/gi3tcmjxhe/directiva-nr-31-1999-privind-rampele-de-gunoi?d=2021-07-15" TargetMode="External"/><Relationship Id="rId33" Type="http://schemas.openxmlformats.org/officeDocument/2006/relationships/hyperlink" Target="http://lege5.ro/App/Document/gi3tcmjxhe/directiva-nr-31-1999-privind-rampele-de-gunoi?d=2021-07-15" TargetMode="External"/><Relationship Id="rId38" Type="http://schemas.openxmlformats.org/officeDocument/2006/relationships/hyperlink" Target="http://lege5.ro/App/Document/gi3tcmjxhe/directiva-nr-31-1999-privind-rampele-de-gunoi?pid=58053106&amp;d=2021-07-15" TargetMode="External"/><Relationship Id="rId46" Type="http://schemas.openxmlformats.org/officeDocument/2006/relationships/hyperlink" Target="http://lege5.ro/App/Document/gi3dknjsgi/privind-deseurile-75-442-cee?pid=57517456&amp;d=2021-07-15" TargetMode="External"/><Relationship Id="rId2" Type="http://schemas.openxmlformats.org/officeDocument/2006/relationships/settings" Target="settings.xml"/><Relationship Id="rId16" Type="http://schemas.openxmlformats.org/officeDocument/2006/relationships/hyperlink" Target="http://lege5.ro/App/Document/gi3tcmjxhe/directiva-nr-31-1999-privind-rampele-de-gunoi?d=2021-07-15" TargetMode="External"/><Relationship Id="rId20" Type="http://schemas.openxmlformats.org/officeDocument/2006/relationships/hyperlink" Target="http://lege5.ro/App/Document/gi3tcmjxhe/directiva-nr-31-1999-privind-rampele-de-gunoi?pid=58053115&amp;d=2021-07-15" TargetMode="External"/><Relationship Id="rId29" Type="http://schemas.openxmlformats.org/officeDocument/2006/relationships/hyperlink" Target="http://lege5.ro/App/Document/gi3tsmjwha/directiva-nr-98-2008-privind-deseurile-si-de-abrogare-a-anumitor-directive-text-cu-relevanta-pentru-see?pid=58928609&amp;d=2021-07-15" TargetMode="External"/><Relationship Id="rId41" Type="http://schemas.openxmlformats.org/officeDocument/2006/relationships/hyperlink" Target="http://lege5.ro/App/Document/gi3tinbxgq/decizia-nr-738-2000-privind-un-chestionar-pentru-elaborarea-de-catre-statele-membre-a-rapoartelor-referitoare-la-punerea-in-aplicare-a-directivei-1999-31-ce-privind-depozitele-de-deseuri-notificata-cu?d=2021-07-15" TargetMode="External"/><Relationship Id="rId1" Type="http://schemas.openxmlformats.org/officeDocument/2006/relationships/styles" Target="styles.xml"/><Relationship Id="rId6" Type="http://schemas.openxmlformats.org/officeDocument/2006/relationships/hyperlink" Target="http://lege5.ro/App/Document/gi3tcmjxhe/directiva-nr-31-1999-privind-rampele-de-gunoi?pid=58053106&amp;d=2021-07-15" TargetMode="External"/><Relationship Id="rId11" Type="http://schemas.openxmlformats.org/officeDocument/2006/relationships/hyperlink" Target="http://lege5.ro/App/Document/gi3tsmjwha/directiva-nr-98-2008-privind-deseurile-si-de-abrogare-a-anumitor-directive-text-cu-relevanta-pentru-see?d=2021-07-15" TargetMode="External"/><Relationship Id="rId24" Type="http://schemas.openxmlformats.org/officeDocument/2006/relationships/hyperlink" Target="http://lege5.ro/App/Document/gi3tinbxgq/decizia-nr-738-2000-privind-un-chestionar-pentru-elaborarea-de-catre-statele-membre-a-rapoartelor-referitoare-la-punerea-in-aplicare-a-directivei-1999-31-ce-privind-depozitele-de-deseuri-notificata-cu?d=2021-07-15" TargetMode="External"/><Relationship Id="rId32" Type="http://schemas.openxmlformats.org/officeDocument/2006/relationships/hyperlink" Target="http://lege5.ro/App/Document/gi3tsmjwha/directiva-nr-98-2008-privind-deseurile-si-de-abrogare-a-anumitor-directive-text-cu-relevanta-pentru-see?pid=58928653&amp;d=2021-07-15" TargetMode="External"/><Relationship Id="rId37" Type="http://schemas.openxmlformats.org/officeDocument/2006/relationships/hyperlink" Target="http://lege5.ro/App/Document/gm2tkojrgi3a/decizia-de-punere-in-aplicare-nr-1885-2019-de-stabilire-a-normelor-pentru-calculul-verificarea-si-raportarea-datelor-referitoare-la-depozitele-de-deseuri-municipale-in-conformitate-cu-directiva-1999-3?pid=307179436&amp;d=2021-07-15" TargetMode="External"/><Relationship Id="rId40" Type="http://schemas.openxmlformats.org/officeDocument/2006/relationships/hyperlink" Target="http://lege5.ro/App/Document/gm2tkojrgi3a/decizia-de-punere-in-aplicare-nr-1885-2019-de-stabilire-a-normelor-pentru-calculul-verificarea-si-raportarea-datelor-referitoare-la-depozitele-de-deseuri-municipale-in-conformitate-cu-directiva-1999-3?pid=307179460&amp;d=2021-07-15" TargetMode="External"/><Relationship Id="rId45" Type="http://schemas.openxmlformats.org/officeDocument/2006/relationships/hyperlink" Target="http://lege5.ro/App/Document/gi3tinbtge/decizia-nr-532-2000-de-inlocuire-a-deciziei-94-3-ce-de-stabilire-a-unei-liste-de-deseuri-in-temeiul-articolului-1-litera-a-din-directiva-75-442-cee-a-consiliului-privind-deseurile-si-a-directivei-94-9?d=2021-07-15" TargetMode="External"/><Relationship Id="rId5" Type="http://schemas.openxmlformats.org/officeDocument/2006/relationships/hyperlink" Target="http://lege5.ro/App/Document/gi3tcmjxhe/directiva-nr-31-1999-privind-rampele-de-gunoi?d=2021-07-15" TargetMode="External"/><Relationship Id="rId15" Type="http://schemas.openxmlformats.org/officeDocument/2006/relationships/hyperlink" Target="http://lege5.ro/App/Document/gi3tgobygm/regulamentul-nr-1013-2006-privind-transferurile-de-deseuri?d=2021-07-15" TargetMode="External"/><Relationship Id="rId23" Type="http://schemas.openxmlformats.org/officeDocument/2006/relationships/hyperlink" Target="http://lege5.ro/App/Document/gi3tcmjxhe/directiva-nr-31-1999-privind-rampele-de-gunoi?pid=58052948&amp;d=2021-07-15" TargetMode="External"/><Relationship Id="rId28" Type="http://schemas.openxmlformats.org/officeDocument/2006/relationships/hyperlink" Target="http://lege5.ro/App/Document/gi3tcmjxhe/directiva-nr-31-1999-privind-rampele-de-gunoi?pid=58052948&amp;d=2021-07-15" TargetMode="External"/><Relationship Id="rId36" Type="http://schemas.openxmlformats.org/officeDocument/2006/relationships/hyperlink" Target="http://lege5.ro/App/Document/gi3tcmjxhe/directiva-nr-31-1999-privind-rampele-de-gunoi?pid=58052948&amp;d=2021-07-15" TargetMode="External"/><Relationship Id="rId49" Type="http://schemas.openxmlformats.org/officeDocument/2006/relationships/theme" Target="theme/theme1.xml"/><Relationship Id="rId10" Type="http://schemas.openxmlformats.org/officeDocument/2006/relationships/hyperlink" Target="http://lege5.ro/App/Document/gi3tsmjwha/directiva-nr-98-2008-privind-deseurile-si-de-abrogare-a-anumitor-directive-text-cu-relevanta-pentru-see?d=2021-07-15" TargetMode="External"/><Relationship Id="rId19" Type="http://schemas.openxmlformats.org/officeDocument/2006/relationships/hyperlink" Target="http://lege5.ro/App/Document/gi3tcmjxhe/directiva-nr-31-1999-privind-rampele-de-gunoi?pid=58053106&amp;d=2021-07-15" TargetMode="External"/><Relationship Id="rId31" Type="http://schemas.openxmlformats.org/officeDocument/2006/relationships/hyperlink" Target="http://lege5.ro/App/Document/gi3tgobygm/regulamentul-nr-1013-2006-privind-transferurile-de-deseuri?d=2021-07-15" TargetMode="External"/><Relationship Id="rId44" Type="http://schemas.openxmlformats.org/officeDocument/2006/relationships/hyperlink" Target="http://lege5.ro/App/Document/gi3tsmjwha/directiva-nr-98-2008-privind-deseurile-si-de-abrogare-a-anumitor-directive-text-cu-relevanta-pentru-see?pid=58928653&amp;d=2021-07-15" TargetMode="External"/><Relationship Id="rId4" Type="http://schemas.openxmlformats.org/officeDocument/2006/relationships/hyperlink" Target="http://lege5.ro/App/Document/gm2doojzgy/tratat-privind-functionarea-uniunii-europene?d=2021-07-15" TargetMode="External"/><Relationship Id="rId9" Type="http://schemas.openxmlformats.org/officeDocument/2006/relationships/hyperlink" Target="http://lege5.ro/App/Document/gi3tcmjxhe/directiva-nr-31-1999-privind-rampele-de-gunoi?d=2021-07-15" TargetMode="External"/><Relationship Id="rId14" Type="http://schemas.openxmlformats.org/officeDocument/2006/relationships/hyperlink" Target="http://lege5.ro/App/Document/gi3tgobygm/regulamentul-nr-1013-2006-privind-transferurile-de-deseuri?d=2021-07-15" TargetMode="External"/><Relationship Id="rId22" Type="http://schemas.openxmlformats.org/officeDocument/2006/relationships/hyperlink" Target="http://lege5.ro/App/Document/gi3tinbxgq/decizia-nr-738-2000-privind-un-chestionar-pentru-elaborarea-de-catre-statele-membre-a-rapoartelor-referitoare-la-punerea-in-aplicare-a-directivei-1999-31-ce-privind-depozitele-de-deseuri-notificata-cu?d=2021-07-15" TargetMode="External"/><Relationship Id="rId27" Type="http://schemas.openxmlformats.org/officeDocument/2006/relationships/hyperlink" Target="http://lege5.ro/App/Document/gi3tcmjxhe/directiva-nr-31-1999-privind-rampele-de-gunoi?pid=58053115&amp;d=2021-07-15" TargetMode="External"/><Relationship Id="rId30" Type="http://schemas.openxmlformats.org/officeDocument/2006/relationships/hyperlink" Target="http://lege5.ro/App/Document/gi3tcmjxhe/directiva-nr-31-1999-privind-rampele-de-gunoi?pid=58053066&amp;d=2021-07-15" TargetMode="External"/><Relationship Id="rId35" Type="http://schemas.openxmlformats.org/officeDocument/2006/relationships/hyperlink" Target="http://lege5.ro/App/Document/gmztomjvgy3q/decizia-de-punere-in-aplicare-nr-1004-2019-de-stabilire-a-normelor-pentru-calculul-verificarea-si-raportarea-datelor-privind-deseurile-in-conformitate-cu-directiva-2008-98-ce-a-parlamentului-european-?pid=288826017&amp;d=2021-07-15" TargetMode="External"/><Relationship Id="rId43" Type="http://schemas.openxmlformats.org/officeDocument/2006/relationships/hyperlink" Target="http://lege5.ro/App/Document/gi3tcmjxhe/directiva-nr-31-1999-privind-rampele-de-gunoi?d=2021-07-15" TargetMode="External"/><Relationship Id="rId48" Type="http://schemas.openxmlformats.org/officeDocument/2006/relationships/fontTable" Target="fontTable.xml"/><Relationship Id="rId8" Type="http://schemas.openxmlformats.org/officeDocument/2006/relationships/hyperlink" Target="http://lege5.ro/App/Document/gi3tcmjxhe/directiva-nr-31-1999-privind-rampele-de-gunoi?pid=58053106&amp;d=2021-0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4194</Words>
  <Characters>23910</Characters>
  <Application>Microsoft Office Word</Application>
  <DocSecurity>0</DocSecurity>
  <Lines>199</Lines>
  <Paragraphs>56</Paragraphs>
  <ScaleCrop>false</ScaleCrop>
  <Company>CtrlSoft</Company>
  <LinksUpToDate>false</LinksUpToDate>
  <CharactersWithSpaces>28048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3</cp:revision>
  <dcterms:created xsi:type="dcterms:W3CDTF">2021-07-15T06:29:00Z</dcterms:created>
  <dcterms:modified xsi:type="dcterms:W3CDTF">2021-07-15T06:31:00Z</dcterms:modified>
</cp:coreProperties>
</file>